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Times New Roman"/>
          <w:b/>
          <w:color w:val="auto"/>
          <w:spacing w:val="20"/>
          <w:sz w:val="32"/>
          <w:szCs w:val="32"/>
          <w:highlight w:val="none"/>
        </w:rPr>
      </w:pPr>
      <w:bookmarkStart w:id="0" w:name="_Hlk114084044"/>
      <w:r>
        <w:rPr>
          <w:rFonts w:hint="eastAsia" w:ascii="宋体" w:hAnsi="宋体" w:eastAsia="宋体" w:cs="Times New Roman"/>
          <w:b/>
          <w:color w:val="auto"/>
          <w:spacing w:val="20"/>
          <w:sz w:val="32"/>
          <w:szCs w:val="32"/>
          <w:highlight w:val="none"/>
        </w:rPr>
        <w:t>江苏盛和房地产股份有限公司202</w:t>
      </w:r>
      <w:r>
        <w:rPr>
          <w:rFonts w:ascii="宋体" w:hAnsi="宋体" w:eastAsia="宋体" w:cs="Times New Roman"/>
          <w:b/>
          <w:color w:val="auto"/>
          <w:spacing w:val="20"/>
          <w:sz w:val="32"/>
          <w:szCs w:val="32"/>
          <w:highlight w:val="none"/>
        </w:rPr>
        <w:t>3</w:t>
      </w:r>
      <w:r>
        <w:rPr>
          <w:rFonts w:hint="eastAsia" w:ascii="宋体" w:hAnsi="宋体" w:eastAsia="宋体" w:cs="Times New Roman"/>
          <w:b/>
          <w:color w:val="auto"/>
          <w:spacing w:val="20"/>
          <w:sz w:val="32"/>
          <w:szCs w:val="32"/>
          <w:highlight w:val="none"/>
        </w:rPr>
        <w:t>-202</w:t>
      </w:r>
      <w:r>
        <w:rPr>
          <w:rFonts w:hint="eastAsia" w:ascii="宋体" w:hAnsi="宋体" w:eastAsia="宋体" w:cs="Times New Roman"/>
          <w:b/>
          <w:color w:val="auto"/>
          <w:spacing w:val="20"/>
          <w:sz w:val="32"/>
          <w:szCs w:val="32"/>
          <w:highlight w:val="none"/>
          <w:lang w:val="en-US" w:eastAsia="zh-CN"/>
        </w:rPr>
        <w:t>4</w:t>
      </w:r>
      <w:r>
        <w:rPr>
          <w:rFonts w:hint="eastAsia" w:ascii="宋体" w:hAnsi="宋体" w:eastAsia="宋体" w:cs="Times New Roman"/>
          <w:b/>
          <w:color w:val="auto"/>
          <w:spacing w:val="20"/>
          <w:sz w:val="32"/>
          <w:szCs w:val="32"/>
          <w:highlight w:val="none"/>
        </w:rPr>
        <w:t>年度</w:t>
      </w:r>
      <w:bookmarkEnd w:id="0"/>
    </w:p>
    <w:p>
      <w:pPr>
        <w:jc w:val="center"/>
        <w:rPr>
          <w:rFonts w:ascii="宋体" w:hAnsi="宋体" w:eastAsia="宋体" w:cs="Times New Roman"/>
          <w:b/>
          <w:color w:val="auto"/>
          <w:spacing w:val="20"/>
          <w:sz w:val="32"/>
          <w:szCs w:val="32"/>
          <w:highlight w:val="none"/>
        </w:rPr>
      </w:pPr>
      <w:r>
        <w:rPr>
          <w:rFonts w:hint="eastAsia" w:ascii="宋体" w:hAnsi="宋体" w:eastAsia="宋体" w:cs="Times New Roman"/>
          <w:b/>
          <w:color w:val="auto"/>
          <w:spacing w:val="20"/>
          <w:sz w:val="32"/>
          <w:szCs w:val="32"/>
          <w:highlight w:val="none"/>
          <w:lang w:val="en-US" w:eastAsia="zh-CN"/>
        </w:rPr>
        <w:tab/>
      </w:r>
      <w:r>
        <w:rPr>
          <w:rFonts w:hint="eastAsia" w:ascii="宋体" w:hAnsi="宋体" w:eastAsia="宋体" w:cs="Times New Roman"/>
          <w:b/>
          <w:color w:val="auto"/>
          <w:spacing w:val="20"/>
          <w:sz w:val="32"/>
          <w:szCs w:val="32"/>
          <w:highlight w:val="none"/>
        </w:rPr>
        <w:t>征集公告</w:t>
      </w:r>
    </w:p>
    <w:p>
      <w:pPr>
        <w:jc w:val="center"/>
        <w:rPr>
          <w:rFonts w:ascii="宋体" w:hAnsi="宋体" w:eastAsia="宋体" w:cs="Times New Roman"/>
          <w:b/>
          <w:color w:val="auto"/>
          <w:spacing w:val="20"/>
          <w:sz w:val="32"/>
          <w:szCs w:val="32"/>
          <w:highlight w:val="none"/>
        </w:rPr>
      </w:pPr>
    </w:p>
    <w:p>
      <w:pPr>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江苏盛和房地产股份有限公司（以下简称“征集人”）拟对2023-202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年度工程质量检测合作单位进行公开征集，现欢迎合格的潜在申请人参加本项目公开征集活动。</w:t>
      </w:r>
    </w:p>
    <w:p>
      <w:pPr>
        <w:spacing w:line="360" w:lineRule="auto"/>
        <w:ind w:firstLine="482" w:firstLineChars="200"/>
        <w:jc w:val="left"/>
        <w:rPr>
          <w:rFonts w:ascii="宋体" w:hAnsi="宋体" w:eastAsia="宋体" w:cs="Times New Roman"/>
          <w:bCs/>
          <w:color w:val="auto"/>
          <w:spacing w:val="20"/>
          <w:sz w:val="24"/>
          <w:szCs w:val="24"/>
          <w:highlight w:val="none"/>
        </w:rPr>
      </w:pPr>
      <w:r>
        <w:rPr>
          <w:rFonts w:hint="eastAsia" w:ascii="宋体" w:hAnsi="宋体" w:eastAsia="宋体" w:cs="宋体"/>
          <w:b/>
          <w:color w:val="auto"/>
          <w:sz w:val="24"/>
          <w:szCs w:val="24"/>
          <w:highlight w:val="none"/>
        </w:rPr>
        <w:t>一、征集名称</w:t>
      </w:r>
      <w:r>
        <w:rPr>
          <w:rFonts w:hint="eastAsia" w:ascii="宋体" w:hAnsi="宋体" w:eastAsia="宋体" w:cs="宋体"/>
          <w:color w:val="auto"/>
          <w:sz w:val="24"/>
          <w:szCs w:val="24"/>
          <w:highlight w:val="none"/>
        </w:rPr>
        <w:t>：江苏盛和房地产股份有限公司2023-202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年度合作单位（工程检测）征集</w:t>
      </w:r>
    </w:p>
    <w:p>
      <w:pPr>
        <w:spacing w:line="360" w:lineRule="auto"/>
        <w:ind w:firstLine="482" w:firstLineChars="200"/>
        <w:jc w:val="left"/>
        <w:rPr>
          <w:rFonts w:ascii="宋体" w:hAnsi="宋体" w:eastAsia="宋体" w:cs="Times New Roman"/>
          <w:b/>
          <w:bCs/>
          <w:color w:val="auto"/>
          <w:spacing w:val="20"/>
          <w:sz w:val="24"/>
          <w:szCs w:val="24"/>
          <w:highlight w:val="none"/>
        </w:rPr>
      </w:pPr>
      <w:r>
        <w:rPr>
          <w:rFonts w:hint="eastAsia" w:ascii="宋体" w:hAnsi="宋体" w:eastAsia="宋体" w:cs="宋体"/>
          <w:b/>
          <w:bCs/>
          <w:color w:val="auto"/>
          <w:sz w:val="24"/>
          <w:szCs w:val="24"/>
          <w:highlight w:val="none"/>
        </w:rPr>
        <w:t>本次征集结果应用：</w:t>
      </w:r>
      <w:r>
        <w:rPr>
          <w:rFonts w:hint="eastAsia" w:ascii="宋体" w:hAnsi="宋体" w:eastAsia="宋体" w:cs="仿宋"/>
          <w:b/>
          <w:bCs/>
          <w:color w:val="auto"/>
          <w:sz w:val="24"/>
          <w:szCs w:val="24"/>
          <w:highlight w:val="none"/>
        </w:rPr>
        <w:t>本次比选拟征1家具有相关资质的检测单位入选</w:t>
      </w:r>
      <w:r>
        <w:rPr>
          <w:rFonts w:hint="eastAsia" w:ascii="宋体" w:hAnsi="宋体" w:eastAsia="宋体" w:cs="宋体"/>
          <w:b/>
          <w:color w:val="auto"/>
          <w:sz w:val="24"/>
          <w:szCs w:val="24"/>
          <w:highlight w:val="none"/>
        </w:rPr>
        <w:t>江苏盛和房地产股份有限公司工程质量检测2023-202</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年度合作单位</w:t>
      </w:r>
      <w:r>
        <w:rPr>
          <w:rFonts w:hint="eastAsia" w:ascii="宋体" w:hAnsi="宋体" w:eastAsia="宋体" w:cs="仿宋"/>
          <w:b/>
          <w:bCs/>
          <w:color w:val="auto"/>
          <w:sz w:val="24"/>
          <w:szCs w:val="24"/>
          <w:highlight w:val="none"/>
        </w:rPr>
        <w:t>，入选</w:t>
      </w:r>
      <w:r>
        <w:rPr>
          <w:rFonts w:hint="eastAsia" w:ascii="宋体" w:hAnsi="宋体" w:eastAsia="宋体" w:cs="宋体"/>
          <w:b/>
          <w:bCs/>
          <w:color w:val="auto"/>
          <w:sz w:val="24"/>
          <w:szCs w:val="24"/>
          <w:highlight w:val="none"/>
        </w:rPr>
        <w:t>单位可接受委托参与征集人2023-202</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年度开发建设或代建项目的工程检测服务。</w:t>
      </w:r>
    </w:p>
    <w:p>
      <w:pPr>
        <w:adjustRightInd w:val="0"/>
        <w:snapToGrid w:val="0"/>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二、服务范围：</w:t>
      </w:r>
    </w:p>
    <w:p>
      <w:pPr>
        <w:spacing w:line="360" w:lineRule="auto"/>
        <w:ind w:firstLine="482" w:firstLineChars="200"/>
        <w:rPr>
          <w:rFonts w:ascii="宋体" w:hAnsi="宋体" w:eastAsia="宋体" w:cs="仿宋"/>
          <w:bCs/>
          <w:color w:val="auto"/>
          <w:sz w:val="24"/>
          <w:szCs w:val="24"/>
          <w:highlight w:val="none"/>
        </w:rPr>
      </w:pPr>
      <w:r>
        <w:rPr>
          <w:rFonts w:hint="eastAsia" w:ascii="宋体" w:hAnsi="宋体" w:eastAsia="宋体" w:cs="仿宋"/>
          <w:b/>
          <w:bCs/>
          <w:color w:val="auto"/>
          <w:sz w:val="24"/>
          <w:szCs w:val="24"/>
          <w:highlight w:val="none"/>
        </w:rPr>
        <w:t>1．工程质量检测：</w:t>
      </w:r>
      <w:r>
        <w:rPr>
          <w:rFonts w:hint="eastAsia" w:ascii="宋体" w:hAnsi="宋体" w:eastAsia="宋体" w:cs="仿宋"/>
          <w:bCs/>
          <w:color w:val="auto"/>
          <w:sz w:val="24"/>
          <w:szCs w:val="24"/>
          <w:highlight w:val="none"/>
        </w:rPr>
        <w:t>（1）见证取样材料检测（水泥、砂石集料、钢筋、混凝土、砂浆、外加剂、粉煤灰、钢绞线、波纹管等）；</w:t>
      </w:r>
    </w:p>
    <w:p>
      <w:pPr>
        <w:spacing w:line="360" w:lineRule="auto"/>
        <w:ind w:firstLine="480" w:firstLineChars="200"/>
        <w:rPr>
          <w:rFonts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（2）主体（混凝土结构和构件实体、后置埋件）；</w:t>
      </w:r>
    </w:p>
    <w:p>
      <w:pPr>
        <w:spacing w:line="360" w:lineRule="auto"/>
        <w:ind w:firstLine="480" w:firstLineChars="200"/>
        <w:rPr>
          <w:rFonts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（3）钢结构检测（钢结构工程用材、焊缝探伤等）；</w:t>
      </w:r>
    </w:p>
    <w:p>
      <w:pPr>
        <w:spacing w:line="360" w:lineRule="auto"/>
        <w:ind w:firstLine="480" w:firstLineChars="200"/>
        <w:rPr>
          <w:rFonts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（4）建筑节能（无机保温材料，塑料保温板、聚氨酯保温板、玻璃棉、橡塑绝热材料、岩棉保温材料等）保温绝热材料检测；</w:t>
      </w:r>
    </w:p>
    <w:p>
      <w:pPr>
        <w:spacing w:line="360" w:lineRule="auto"/>
        <w:ind w:firstLine="480" w:firstLineChars="200"/>
        <w:rPr>
          <w:rFonts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（5）建筑节能系统现场检测（锚钉、保温层、抗裂抹面层、饰面砖拉拔等）；</w:t>
      </w:r>
    </w:p>
    <w:p>
      <w:pPr>
        <w:spacing w:line="360" w:lineRule="auto"/>
        <w:ind w:firstLine="480" w:firstLineChars="200"/>
        <w:rPr>
          <w:rFonts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（6）现场内墙粉刷砂浆粘结强度拉拔；</w:t>
      </w:r>
    </w:p>
    <w:p>
      <w:pPr>
        <w:spacing w:line="360" w:lineRule="auto"/>
        <w:ind w:firstLine="480" w:firstLineChars="200"/>
        <w:rPr>
          <w:rFonts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（7）建筑节能结构实体检测；</w:t>
      </w:r>
    </w:p>
    <w:p>
      <w:pPr>
        <w:spacing w:line="360" w:lineRule="auto"/>
        <w:ind w:firstLine="480" w:firstLineChars="200"/>
        <w:rPr>
          <w:rFonts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（8）现场热工、现场门窗及门窗幕墙型材检测；门窗幕墙中空玻璃露点检测；</w:t>
      </w:r>
    </w:p>
    <w:p>
      <w:pPr>
        <w:spacing w:line="360" w:lineRule="auto"/>
        <w:ind w:firstLine="480" w:firstLineChars="200"/>
        <w:rPr>
          <w:rFonts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（9）结构胶耐候胶相容性、耐污染性及力学性能；</w:t>
      </w:r>
    </w:p>
    <w:p>
      <w:pPr>
        <w:spacing w:line="360" w:lineRule="auto"/>
        <w:ind w:firstLine="480" w:firstLineChars="200"/>
        <w:rPr>
          <w:rFonts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（10）建筑装饰材料（地板、涂料、饰面石材、陶瓷砖、不锈钢管等）检测；</w:t>
      </w:r>
    </w:p>
    <w:p>
      <w:pPr>
        <w:spacing w:line="360" w:lineRule="auto"/>
        <w:ind w:firstLine="480" w:firstLineChars="200"/>
        <w:rPr>
          <w:rFonts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（11）防水涂料、卷材、止水带、膨胀橡胶、水泥基刚性防水材料等防水材料、接缝材料检测；</w:t>
      </w:r>
    </w:p>
    <w:p>
      <w:pPr>
        <w:spacing w:line="360" w:lineRule="auto"/>
        <w:ind w:firstLine="480" w:firstLineChars="200"/>
        <w:rPr>
          <w:rFonts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（12）给排水管材、电线电缆、电工套管等水电材料检测；</w:t>
      </w:r>
    </w:p>
    <w:p>
      <w:pPr>
        <w:spacing w:line="360" w:lineRule="auto"/>
        <w:ind w:firstLine="480" w:firstLineChars="200"/>
        <w:rPr>
          <w:rFonts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（14）室内环境检测</w:t>
      </w:r>
      <w:r>
        <w:rPr>
          <w:rFonts w:hint="eastAsia" w:ascii="宋体" w:hAnsi="宋体" w:eastAsia="宋体" w:cs="仿宋"/>
          <w:bCs/>
          <w:color w:val="auto"/>
          <w:sz w:val="24"/>
          <w:szCs w:val="24"/>
          <w:highlight w:val="none"/>
          <w:lang w:eastAsia="zh-CN"/>
        </w:rPr>
        <w:t>、</w:t>
      </w:r>
      <w:r>
        <w:rPr>
          <w:rFonts w:hint="eastAsia" w:ascii="宋体" w:hAnsi="宋体" w:eastAsia="宋体" w:cs="仿宋"/>
          <w:bCs/>
          <w:color w:val="auto"/>
          <w:sz w:val="24"/>
          <w:szCs w:val="24"/>
          <w:highlight w:val="none"/>
          <w:lang w:val="en-US" w:eastAsia="zh-CN"/>
        </w:rPr>
        <w:t>室内声环境检测</w:t>
      </w:r>
      <w:r>
        <w:rPr>
          <w:rFonts w:hint="eastAsia" w:ascii="宋体" w:hAnsi="宋体" w:eastAsia="宋体" w:cs="仿宋"/>
          <w:bCs/>
          <w:color w:val="auto"/>
          <w:sz w:val="24"/>
          <w:szCs w:val="24"/>
          <w:highlight w:val="none"/>
        </w:rPr>
        <w:t>；</w:t>
      </w:r>
    </w:p>
    <w:p>
      <w:pPr>
        <w:spacing w:line="360" w:lineRule="auto"/>
        <w:ind w:firstLine="480" w:firstLineChars="200"/>
        <w:rPr>
          <w:rFonts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（15）热工性能等；</w:t>
      </w:r>
    </w:p>
    <w:p>
      <w:pPr>
        <w:spacing w:line="360" w:lineRule="auto"/>
        <w:ind w:firstLine="480" w:firstLineChars="200"/>
        <w:rPr>
          <w:rFonts w:hint="eastAsia" w:ascii="宋体" w:hAnsi="宋体" w:eastAsia="宋体" w:cs="仿宋"/>
          <w:bCs/>
          <w:color w:val="auto"/>
          <w:sz w:val="24"/>
          <w:szCs w:val="24"/>
          <w:highlight w:val="none"/>
          <w:lang w:eastAsia="zh-CN"/>
        </w:rPr>
      </w:pPr>
      <w:r>
        <w:rPr>
          <w:rFonts w:hint="eastAsia" w:ascii="宋体" w:hAnsi="宋体" w:eastAsia="宋体" w:cs="仿宋"/>
          <w:bCs/>
          <w:color w:val="auto"/>
          <w:sz w:val="24"/>
          <w:szCs w:val="24"/>
          <w:highlight w:val="none"/>
        </w:rPr>
        <w:t>（16）水质检测（按相关规范执行）</w:t>
      </w:r>
      <w:r>
        <w:rPr>
          <w:rFonts w:hint="eastAsia" w:ascii="宋体" w:hAnsi="宋体" w:eastAsia="宋体" w:cs="仿宋"/>
          <w:bCs/>
          <w:color w:val="auto"/>
          <w:sz w:val="24"/>
          <w:szCs w:val="24"/>
          <w:highlight w:val="none"/>
          <w:lang w:eastAsia="zh-CN"/>
        </w:rPr>
        <w:t>；</w:t>
      </w:r>
    </w:p>
    <w:p>
      <w:pPr>
        <w:pStyle w:val="14"/>
        <w:ind w:firstLine="480" w:firstLineChars="200"/>
        <w:rPr>
          <w:rFonts w:hint="eastAsia" w:ascii="宋体" w:hAnsi="宋体" w:eastAsia="宋体" w:cs="仿宋"/>
          <w:bCs/>
          <w:color w:val="auto"/>
          <w:sz w:val="24"/>
          <w:szCs w:val="24"/>
          <w:highlight w:val="none"/>
          <w:lang w:val="en-US" w:eastAsia="zh-CN"/>
        </w:rPr>
      </w:pPr>
      <w:r>
        <w:rPr>
          <w:rFonts w:hint="eastAsia" w:ascii="宋体" w:hAnsi="宋体" w:eastAsia="宋体" w:cs="仿宋"/>
          <w:bCs/>
          <w:color w:val="auto"/>
          <w:sz w:val="24"/>
          <w:szCs w:val="24"/>
          <w:highlight w:val="none"/>
          <w:lang w:eastAsia="zh-CN"/>
        </w:rPr>
        <w:t>（</w:t>
      </w:r>
      <w:r>
        <w:rPr>
          <w:rFonts w:hint="eastAsia" w:ascii="宋体" w:hAnsi="宋体" w:eastAsia="宋体" w:cs="仿宋"/>
          <w:bCs/>
          <w:color w:val="auto"/>
          <w:sz w:val="24"/>
          <w:szCs w:val="24"/>
          <w:highlight w:val="none"/>
          <w:lang w:val="en-US" w:eastAsia="zh-CN"/>
        </w:rPr>
        <w:t>17）太阳能检测；</w:t>
      </w:r>
    </w:p>
    <w:p>
      <w:pPr>
        <w:pStyle w:val="14"/>
        <w:ind w:firstLine="480" w:firstLineChars="200"/>
        <w:rPr>
          <w:rFonts w:hint="default" w:ascii="宋体" w:hAnsi="宋体" w:eastAsia="宋体" w:cs="仿宋"/>
          <w:bCs/>
          <w:color w:val="auto"/>
          <w:sz w:val="24"/>
          <w:szCs w:val="24"/>
          <w:highlight w:val="none"/>
          <w:lang w:val="en-US" w:eastAsia="zh-CN"/>
        </w:rPr>
      </w:pPr>
      <w:r>
        <w:rPr>
          <w:rFonts w:hint="eastAsia" w:ascii="宋体" w:hAnsi="宋体" w:eastAsia="宋体" w:cs="仿宋"/>
          <w:bCs/>
          <w:color w:val="auto"/>
          <w:sz w:val="24"/>
          <w:szCs w:val="24"/>
          <w:highlight w:val="none"/>
          <w:lang w:val="en-US" w:eastAsia="zh-CN"/>
        </w:rPr>
        <w:t>（18）智能建筑等。</w:t>
      </w:r>
    </w:p>
    <w:p>
      <w:pPr>
        <w:spacing w:line="360" w:lineRule="auto"/>
        <w:ind w:firstLine="482" w:firstLineChars="200"/>
        <w:rPr>
          <w:rFonts w:ascii="宋体" w:hAnsi="宋体" w:eastAsia="宋体" w:cs="仿宋"/>
          <w:bCs/>
          <w:color w:val="auto"/>
          <w:sz w:val="24"/>
          <w:szCs w:val="24"/>
          <w:highlight w:val="none"/>
        </w:rPr>
      </w:pPr>
      <w:r>
        <w:rPr>
          <w:rFonts w:hint="eastAsia" w:ascii="宋体" w:hAnsi="宋体" w:eastAsia="宋体" w:cs="仿宋"/>
          <w:b/>
          <w:color w:val="auto"/>
          <w:sz w:val="24"/>
          <w:szCs w:val="24"/>
          <w:highlight w:val="none"/>
        </w:rPr>
        <w:t>2．桩基检测</w:t>
      </w:r>
      <w:r>
        <w:rPr>
          <w:rFonts w:hint="eastAsia" w:ascii="宋体" w:hAnsi="宋体" w:eastAsia="宋体" w:cs="仿宋"/>
          <w:color w:val="auto"/>
          <w:sz w:val="24"/>
          <w:szCs w:val="24"/>
          <w:highlight w:val="none"/>
        </w:rPr>
        <w:t>包括静载检测、高应变、低应变、焊缝探伤</w:t>
      </w:r>
      <w:r>
        <w:rPr>
          <w:rFonts w:hint="eastAsia" w:ascii="宋体" w:hAnsi="宋体" w:eastAsia="宋体" w:cs="仿宋"/>
          <w:bCs/>
          <w:color w:val="auto"/>
          <w:sz w:val="24"/>
          <w:szCs w:val="24"/>
          <w:highlight w:val="none"/>
        </w:rPr>
        <w:t>等。</w:t>
      </w:r>
    </w:p>
    <w:p>
      <w:pPr>
        <w:spacing w:line="360" w:lineRule="auto"/>
        <w:ind w:firstLine="482" w:firstLineChars="200"/>
        <w:rPr>
          <w:rFonts w:ascii="宋体" w:hAnsi="宋体" w:eastAsia="宋体" w:cs="宋体"/>
          <w:b/>
          <w:color w:val="auto"/>
          <w:sz w:val="24"/>
          <w:szCs w:val="24"/>
          <w:highlight w:val="none"/>
          <w:shd w:val="clear" w:color="auto" w:fill="FFFFFF"/>
        </w:rPr>
      </w:pPr>
      <w:r>
        <w:rPr>
          <w:rFonts w:hint="eastAsia" w:ascii="宋体" w:hAnsi="宋体" w:eastAsia="宋体" w:cs="宋体"/>
          <w:b/>
          <w:color w:val="auto"/>
          <w:sz w:val="24"/>
          <w:szCs w:val="24"/>
          <w:highlight w:val="none"/>
          <w:shd w:val="clear" w:color="auto" w:fill="FFFFFF"/>
        </w:rPr>
        <w:t>三、申请人的资格要求：</w:t>
      </w:r>
    </w:p>
    <w:p>
      <w:pPr>
        <w:spacing w:line="360" w:lineRule="auto"/>
        <w:ind w:firstLine="480" w:firstLineChars="200"/>
        <w:rPr>
          <w:rFonts w:hint="eastAsia"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1.具有有效期内的省级及以上建设行政主管部门核发的《建设工程质量检测机构资质证书》，“资质证书”中必须包括见证取样检测和地基基础检测；同时具有建设行政主管部门核发的《建设工程质量检测机构备案证书》， “资质证书”、“备案证书”或“CMA计量认证证书”中的附表必须包含征集范围内所列的检测项目。</w:t>
      </w:r>
    </w:p>
    <w:p>
      <w:pPr>
        <w:spacing w:line="360" w:lineRule="auto"/>
        <w:ind w:firstLine="480" w:firstLineChars="200"/>
        <w:rPr>
          <w:rFonts w:hint="eastAsia"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2.具有有效期内的省级及以上质量技术监督局颁发的CMA计量认证证书；其中包括DGJ321TJ194-2015《绿色建筑室内环境检测技术标准》中的室内声环境、室内光环境的检测项目。</w:t>
      </w:r>
    </w:p>
    <w:p>
      <w:pPr>
        <w:spacing w:line="360" w:lineRule="auto"/>
        <w:ind w:firstLine="480" w:firstLineChars="200"/>
        <w:rPr>
          <w:rFonts w:hint="eastAsia"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3.申请人在南通市市区要有固定营业场所，且营业场所应符合《建设工程质量检测规程》（DGJ32/J21-2009）的要求。</w:t>
      </w:r>
    </w:p>
    <w:p>
      <w:pPr>
        <w:spacing w:line="360" w:lineRule="auto"/>
        <w:ind w:firstLine="480" w:firstLineChars="200"/>
        <w:rPr>
          <w:rFonts w:hint="eastAsia"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4.拟派项目负责人资质类别和等级：拟派项目负责人必须具备省级及以上建设行政主管部门核发的建设工程质量检测人员岗位合格证，并同时具备建设工程类高级及以上技术职称且为申请企业的正式员工。</w:t>
      </w:r>
    </w:p>
    <w:p>
      <w:pPr>
        <w:spacing w:line="360" w:lineRule="auto"/>
        <w:ind w:firstLine="480" w:firstLineChars="200"/>
        <w:rPr>
          <w:rFonts w:hint="eastAsia"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5.企业信誉要求：企业未处于被责令停业或者财产被接管、冻结和破产状态；没有因骗取中标或者严重违约以及发生重大工程质量、安全生产事故等问题，被有关部门暂停资格申请并在暂停期内；</w:t>
      </w:r>
    </w:p>
    <w:p>
      <w:pPr>
        <w:spacing w:line="360" w:lineRule="auto"/>
        <w:ind w:firstLine="480" w:firstLineChars="200"/>
        <w:rPr>
          <w:rFonts w:hint="eastAsia"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6．符合相关法律、法规规定的其他要求；</w:t>
      </w:r>
    </w:p>
    <w:p>
      <w:pPr>
        <w:spacing w:line="360" w:lineRule="auto"/>
        <w:ind w:firstLine="480" w:firstLineChars="200"/>
        <w:rPr>
          <w:rFonts w:hint="eastAsia"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7．本项目不接受联合体申请。</w:t>
      </w:r>
    </w:p>
    <w:p>
      <w:pPr>
        <w:snapToGrid w:val="0"/>
        <w:spacing w:line="360" w:lineRule="auto"/>
        <w:ind w:firstLine="482" w:firstLineChars="200"/>
        <w:contextualSpacing/>
        <w:rPr>
          <w:rFonts w:ascii="宋体" w:hAnsi="宋体" w:eastAsia="宋体" w:cs="仿宋"/>
          <w:b/>
          <w:color w:val="auto"/>
          <w:sz w:val="24"/>
          <w:szCs w:val="24"/>
          <w:highlight w:val="none"/>
        </w:rPr>
      </w:pPr>
      <w:r>
        <w:rPr>
          <w:rFonts w:hint="eastAsia" w:ascii="宋体" w:hAnsi="宋体" w:eastAsia="宋体" w:cs="仿宋"/>
          <w:b/>
          <w:color w:val="auto"/>
          <w:sz w:val="24"/>
          <w:szCs w:val="24"/>
          <w:highlight w:val="none"/>
          <w:lang w:val="zh-CN"/>
        </w:rPr>
        <w:t>请</w:t>
      </w:r>
      <w:r>
        <w:rPr>
          <w:rFonts w:hint="eastAsia" w:ascii="宋体" w:hAnsi="宋体" w:eastAsia="宋体" w:cs="仿宋"/>
          <w:b/>
          <w:color w:val="auto"/>
          <w:sz w:val="24"/>
          <w:szCs w:val="24"/>
          <w:highlight w:val="none"/>
        </w:rPr>
        <w:t>各申请人认真对照资格要求，如符合资格要求的，方可参加本次征集比选；如不完全符合资格要求或提供虚假资料，所产生的一切后果由申请人自行承担。</w:t>
      </w:r>
    </w:p>
    <w:p>
      <w:pPr>
        <w:snapToGrid w:val="0"/>
        <w:spacing w:line="360" w:lineRule="auto"/>
        <w:ind w:firstLine="482" w:firstLineChars="200"/>
        <w:contextualSpacing/>
        <w:rPr>
          <w:rFonts w:ascii="宋体" w:hAnsi="宋体" w:eastAsia="宋体" w:cs="宋体"/>
          <w:color w:val="auto"/>
          <w:sz w:val="24"/>
          <w:szCs w:val="24"/>
          <w:highlight w:val="none"/>
        </w:rPr>
      </w:pPr>
      <w:r>
        <w:rPr>
          <w:rFonts w:hint="eastAsia" w:ascii="宋体" w:hAnsi="宋体" w:eastAsia="宋体" w:cs="仿宋"/>
          <w:b/>
          <w:color w:val="auto"/>
          <w:sz w:val="24"/>
          <w:szCs w:val="24"/>
          <w:highlight w:val="none"/>
        </w:rPr>
        <w:t>四、报价：</w:t>
      </w:r>
    </w:p>
    <w:p>
      <w:pPr>
        <w:snapToGrid w:val="0"/>
        <w:spacing w:line="360" w:lineRule="auto"/>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1、报价一：检测费固定费率报价</w:t>
      </w:r>
    </w:p>
    <w:p>
      <w:pPr>
        <w:snapToGrid w:val="0"/>
        <w:spacing w:line="360" w:lineRule="auto"/>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桩基检测项目限价如下表所示：</w:t>
      </w:r>
    </w:p>
    <w:tbl>
      <w:tblPr>
        <w:tblStyle w:val="16"/>
        <w:tblW w:w="7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2688"/>
        <w:gridCol w:w="822"/>
        <w:gridCol w:w="1952"/>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7" w:type="dxa"/>
            <w:vAlign w:val="center"/>
          </w:tcPr>
          <w:p>
            <w:pPr>
              <w:jc w:val="center"/>
              <w:rPr>
                <w:color w:val="auto"/>
                <w:highlight w:val="none"/>
              </w:rPr>
            </w:pPr>
            <w:r>
              <w:rPr>
                <w:rFonts w:hint="eastAsia" w:ascii="宋体" w:hAnsi="宋体" w:eastAsia="宋体"/>
                <w:color w:val="auto"/>
                <w:szCs w:val="21"/>
                <w:highlight w:val="none"/>
              </w:rPr>
              <w:t>序号</w:t>
            </w:r>
          </w:p>
        </w:tc>
        <w:tc>
          <w:tcPr>
            <w:tcW w:w="2688" w:type="dxa"/>
            <w:vAlign w:val="center"/>
          </w:tcPr>
          <w:p>
            <w:pPr>
              <w:jc w:val="center"/>
              <w:rPr>
                <w:color w:val="auto"/>
                <w:highlight w:val="none"/>
              </w:rPr>
            </w:pPr>
            <w:r>
              <w:rPr>
                <w:rFonts w:hint="eastAsia" w:ascii="宋体" w:hAnsi="宋体" w:eastAsia="宋体"/>
                <w:color w:val="auto"/>
                <w:szCs w:val="21"/>
                <w:highlight w:val="none"/>
              </w:rPr>
              <w:t>工作内容</w:t>
            </w:r>
          </w:p>
        </w:tc>
        <w:tc>
          <w:tcPr>
            <w:tcW w:w="822" w:type="dxa"/>
            <w:vAlign w:val="center"/>
          </w:tcPr>
          <w:p>
            <w:pPr>
              <w:jc w:val="center"/>
              <w:rPr>
                <w:color w:val="auto"/>
                <w:highlight w:val="none"/>
              </w:rPr>
            </w:pPr>
            <w:r>
              <w:rPr>
                <w:rFonts w:hint="eastAsia" w:ascii="宋体" w:hAnsi="宋体" w:eastAsia="宋体"/>
                <w:color w:val="auto"/>
                <w:szCs w:val="21"/>
                <w:highlight w:val="none"/>
              </w:rPr>
              <w:t>单位</w:t>
            </w:r>
          </w:p>
        </w:tc>
        <w:tc>
          <w:tcPr>
            <w:tcW w:w="1952" w:type="dxa"/>
            <w:vAlign w:val="center"/>
          </w:tcPr>
          <w:p>
            <w:pPr>
              <w:jc w:val="center"/>
              <w:rPr>
                <w:color w:val="auto"/>
                <w:highlight w:val="none"/>
              </w:rPr>
            </w:pPr>
            <w:r>
              <w:rPr>
                <w:rFonts w:hint="eastAsia" w:ascii="宋体" w:hAnsi="宋体" w:eastAsia="宋体"/>
                <w:color w:val="auto"/>
                <w:szCs w:val="21"/>
                <w:highlight w:val="none"/>
              </w:rPr>
              <w:t>最高限价（单价/元）</w:t>
            </w:r>
          </w:p>
        </w:tc>
        <w:tc>
          <w:tcPr>
            <w:tcW w:w="1619" w:type="dxa"/>
            <w:vAlign w:val="center"/>
          </w:tcPr>
          <w:p>
            <w:pPr>
              <w:jc w:val="center"/>
              <w:rPr>
                <w:color w:val="auto"/>
                <w:highlight w:val="none"/>
              </w:rPr>
            </w:pPr>
            <w:r>
              <w:rPr>
                <w:rFonts w:hint="eastAsia" w:ascii="宋体" w:hAnsi="宋体" w:eastAsia="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77"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688"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工程桩抗压静载（主楼）</w:t>
            </w:r>
          </w:p>
        </w:tc>
        <w:tc>
          <w:tcPr>
            <w:tcW w:w="822"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t</w:t>
            </w:r>
          </w:p>
        </w:tc>
        <w:tc>
          <w:tcPr>
            <w:tcW w:w="1952"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40</w:t>
            </w:r>
          </w:p>
        </w:tc>
        <w:tc>
          <w:tcPr>
            <w:tcW w:w="1619"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77"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688"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工程桩抗拔静载（地库）</w:t>
            </w:r>
          </w:p>
        </w:tc>
        <w:tc>
          <w:tcPr>
            <w:tcW w:w="822"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根</w:t>
            </w:r>
          </w:p>
        </w:tc>
        <w:tc>
          <w:tcPr>
            <w:tcW w:w="1952"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2000</w:t>
            </w:r>
          </w:p>
        </w:tc>
        <w:tc>
          <w:tcPr>
            <w:tcW w:w="1619"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77"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688"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高应变</w:t>
            </w:r>
          </w:p>
        </w:tc>
        <w:tc>
          <w:tcPr>
            <w:tcW w:w="822"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根</w:t>
            </w:r>
          </w:p>
        </w:tc>
        <w:tc>
          <w:tcPr>
            <w:tcW w:w="1952"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2000</w:t>
            </w:r>
          </w:p>
        </w:tc>
        <w:tc>
          <w:tcPr>
            <w:tcW w:w="1619"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7"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2688"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低应变</w:t>
            </w:r>
          </w:p>
        </w:tc>
        <w:tc>
          <w:tcPr>
            <w:tcW w:w="822"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根</w:t>
            </w:r>
          </w:p>
        </w:tc>
        <w:tc>
          <w:tcPr>
            <w:tcW w:w="1952"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30</w:t>
            </w:r>
          </w:p>
        </w:tc>
        <w:tc>
          <w:tcPr>
            <w:tcW w:w="1619"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77"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2688"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焊缝探伤</w:t>
            </w:r>
          </w:p>
        </w:tc>
        <w:tc>
          <w:tcPr>
            <w:tcW w:w="822"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次</w:t>
            </w:r>
          </w:p>
        </w:tc>
        <w:tc>
          <w:tcPr>
            <w:tcW w:w="1952"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800</w:t>
            </w:r>
          </w:p>
        </w:tc>
        <w:tc>
          <w:tcPr>
            <w:tcW w:w="1619" w:type="dxa"/>
            <w:vAlign w:val="center"/>
          </w:tcPr>
          <w:p>
            <w:pPr>
              <w:jc w:val="center"/>
              <w:rPr>
                <w:rFonts w:hint="eastAsia" w:ascii="宋体" w:hAnsi="宋体" w:eastAsia="宋体" w:cs="宋体"/>
                <w:color w:val="auto"/>
                <w:highlight w:val="none"/>
              </w:rPr>
            </w:pPr>
          </w:p>
        </w:tc>
      </w:tr>
    </w:tbl>
    <w:p>
      <w:pPr>
        <w:spacing w:line="360" w:lineRule="auto"/>
        <w:ind w:firstLine="480" w:firstLineChars="200"/>
        <w:rPr>
          <w:rFonts w:ascii="宋体" w:hAnsi="宋体" w:eastAsia="宋体" w:cs="宋体"/>
          <w:color w:val="auto"/>
          <w:sz w:val="24"/>
          <w:szCs w:val="24"/>
          <w:highlight w:val="none"/>
        </w:rPr>
      </w:pPr>
      <w:bookmarkStart w:id="1" w:name="_Hlk119931787"/>
      <w:r>
        <w:rPr>
          <w:rFonts w:hint="eastAsia" w:ascii="宋体" w:hAnsi="宋体" w:eastAsia="宋体" w:cs="宋体"/>
          <w:color w:val="auto"/>
          <w:sz w:val="24"/>
          <w:szCs w:val="24"/>
          <w:highlight w:val="none"/>
        </w:rPr>
        <w:t>工程质量检测最高限价取费依据：计价基数为2001年《江苏省建设工程质量检测和建筑材料试验收费标准》（苏价服[2001]113号）、江苏省建设工程造价管理总站《关于建设工程检测费用列支问题的答复》（苏建价函[2006]91号）、《南通市建设工程质量检测行业工程质量检测和建筑材料试验收费参考价格》（通工协[2016]第8号）（含相关补充文件）的取费标准，南通市工程建设协会印发《南通市建设工程质量检测行业新增部分检测项目检测服务收费参考价格》的通知（通工协{2018}第2号）南通市工程建设协会关于印发《南通市建设工程质量检测行业新增部分检测项目检测服务收费参考价格》的通知（通工协[2019]第1号）南通市工程建设协会关于印发《南通市建设工程质量检测行业新增部分检测项目检测服务收费参考价格》的通知（通工协[20</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]第1号）</w:t>
      </w:r>
    </w:p>
    <w:p>
      <w:pPr>
        <w:snapToGrid w:val="0"/>
        <w:spacing w:line="360" w:lineRule="auto"/>
        <w:ind w:firstLine="482" w:firstLineChars="200"/>
        <w:contextualSpacing/>
        <w:rPr>
          <w:rFonts w:ascii="宋体" w:hAnsi="宋体" w:eastAsia="宋体" w:cs="仿宋"/>
          <w:b/>
          <w:color w:val="auto"/>
          <w:sz w:val="24"/>
          <w:szCs w:val="24"/>
          <w:highlight w:val="none"/>
        </w:rPr>
      </w:pPr>
      <w:r>
        <w:rPr>
          <w:rFonts w:hint="eastAsia" w:ascii="宋体" w:hAnsi="宋体" w:eastAsia="宋体" w:cs="仿宋"/>
          <w:b/>
          <w:color w:val="auto"/>
          <w:sz w:val="24"/>
          <w:szCs w:val="24"/>
          <w:highlight w:val="none"/>
        </w:rPr>
        <w:t>申请人桩基工程</w:t>
      </w:r>
      <w:r>
        <w:rPr>
          <w:rFonts w:ascii="宋体" w:hAnsi="宋体" w:eastAsia="宋体" w:cs="仿宋"/>
          <w:b/>
          <w:color w:val="auto"/>
          <w:sz w:val="24"/>
          <w:szCs w:val="24"/>
          <w:highlight w:val="none"/>
        </w:rPr>
        <w:t>结算</w:t>
      </w:r>
      <w:r>
        <w:rPr>
          <w:rFonts w:hint="eastAsia" w:ascii="宋体" w:hAnsi="宋体" w:eastAsia="宋体" w:cs="仿宋"/>
          <w:b/>
          <w:color w:val="auto"/>
          <w:sz w:val="24"/>
          <w:szCs w:val="24"/>
          <w:highlight w:val="none"/>
        </w:rPr>
        <w:t>单价</w:t>
      </w:r>
      <w:r>
        <w:rPr>
          <w:rFonts w:ascii="宋体" w:hAnsi="宋体" w:eastAsia="宋体" w:cs="仿宋"/>
          <w:b/>
          <w:color w:val="auto"/>
          <w:sz w:val="24"/>
          <w:szCs w:val="24"/>
          <w:highlight w:val="none"/>
        </w:rPr>
        <w:t>按照</w:t>
      </w:r>
      <w:r>
        <w:rPr>
          <w:rFonts w:hint="eastAsia" w:ascii="宋体" w:hAnsi="宋体" w:eastAsia="宋体" w:cs="仿宋"/>
          <w:b/>
          <w:color w:val="auto"/>
          <w:sz w:val="24"/>
          <w:szCs w:val="24"/>
          <w:highlight w:val="none"/>
        </w:rPr>
        <w:t>上</w:t>
      </w:r>
      <w:r>
        <w:rPr>
          <w:rFonts w:ascii="宋体" w:hAnsi="宋体" w:eastAsia="宋体" w:cs="仿宋"/>
          <w:b/>
          <w:color w:val="auto"/>
          <w:sz w:val="24"/>
          <w:szCs w:val="24"/>
          <w:highlight w:val="none"/>
        </w:rPr>
        <w:t>表</w:t>
      </w:r>
      <w:r>
        <w:rPr>
          <w:rFonts w:hint="eastAsia" w:ascii="宋体" w:hAnsi="宋体" w:eastAsia="宋体" w:cs="仿宋"/>
          <w:b/>
          <w:color w:val="auto"/>
          <w:sz w:val="24"/>
          <w:szCs w:val="24"/>
          <w:highlight w:val="none"/>
        </w:rPr>
        <w:t>限价</w:t>
      </w:r>
      <w:r>
        <w:rPr>
          <w:rFonts w:ascii="宋体" w:hAnsi="宋体" w:eastAsia="宋体" w:cs="仿宋"/>
          <w:b/>
          <w:color w:val="auto"/>
          <w:sz w:val="24"/>
          <w:szCs w:val="24"/>
          <w:highlight w:val="none"/>
        </w:rPr>
        <w:t>标准×</w:t>
      </w:r>
      <w:r>
        <w:rPr>
          <w:rFonts w:hint="eastAsia" w:ascii="宋体" w:hAnsi="宋体" w:eastAsia="宋体" w:cs="仿宋"/>
          <w:b/>
          <w:color w:val="auto"/>
          <w:sz w:val="24"/>
          <w:szCs w:val="24"/>
          <w:highlight w:val="none"/>
        </w:rPr>
        <w:t>入选费率，费率上限为</w:t>
      </w:r>
      <w:r>
        <w:rPr>
          <w:rFonts w:hint="eastAsia" w:ascii="宋体" w:hAnsi="宋体" w:eastAsia="宋体" w:cs="仿宋"/>
          <w:b/>
          <w:color w:val="auto"/>
          <w:sz w:val="24"/>
          <w:szCs w:val="24"/>
          <w:highlight w:val="none"/>
          <w:lang w:val="en-US" w:eastAsia="zh-CN"/>
        </w:rPr>
        <w:t>70</w:t>
      </w:r>
      <w:r>
        <w:rPr>
          <w:rFonts w:hint="eastAsia" w:ascii="宋体" w:hAnsi="宋体" w:eastAsia="宋体" w:cs="仿宋"/>
          <w:b/>
          <w:color w:val="auto"/>
          <w:sz w:val="24"/>
          <w:szCs w:val="24"/>
          <w:highlight w:val="none"/>
        </w:rPr>
        <w:t>%；其余检测项目由申请人自主报价，</w:t>
      </w:r>
      <w:r>
        <w:rPr>
          <w:rFonts w:hint="eastAsia" w:ascii="宋体" w:hAnsi="宋体" w:eastAsia="宋体" w:cs="仿宋"/>
          <w:b/>
          <w:color w:val="auto"/>
          <w:sz w:val="24"/>
          <w:szCs w:val="24"/>
          <w:highlight w:val="none"/>
          <w:lang w:val="en-US" w:eastAsia="zh-CN"/>
        </w:rPr>
        <w:t>其余检测项目</w:t>
      </w:r>
      <w:r>
        <w:rPr>
          <w:rFonts w:ascii="宋体" w:hAnsi="宋体" w:eastAsia="宋体" w:cs="仿宋"/>
          <w:b/>
          <w:color w:val="auto"/>
          <w:sz w:val="24"/>
          <w:szCs w:val="24"/>
          <w:highlight w:val="none"/>
        </w:rPr>
        <w:t>结算</w:t>
      </w:r>
      <w:r>
        <w:rPr>
          <w:rFonts w:hint="eastAsia" w:ascii="宋体" w:hAnsi="宋体" w:eastAsia="宋体" w:cs="仿宋"/>
          <w:b/>
          <w:color w:val="auto"/>
          <w:sz w:val="24"/>
          <w:szCs w:val="24"/>
          <w:highlight w:val="none"/>
        </w:rPr>
        <w:t>单价</w:t>
      </w:r>
      <w:r>
        <w:rPr>
          <w:rFonts w:ascii="宋体" w:hAnsi="宋体" w:eastAsia="宋体" w:cs="仿宋"/>
          <w:b/>
          <w:color w:val="auto"/>
          <w:sz w:val="24"/>
          <w:szCs w:val="24"/>
          <w:highlight w:val="none"/>
        </w:rPr>
        <w:t>按照</w:t>
      </w:r>
      <w:r>
        <w:rPr>
          <w:rFonts w:hint="eastAsia" w:ascii="宋体" w:hAnsi="宋体" w:eastAsia="宋体" w:cs="仿宋"/>
          <w:b/>
          <w:color w:val="auto"/>
          <w:sz w:val="24"/>
          <w:szCs w:val="24"/>
          <w:highlight w:val="none"/>
          <w:lang w:val="en-US" w:eastAsia="zh-CN"/>
        </w:rPr>
        <w:t>上述收费</w:t>
      </w:r>
      <w:r>
        <w:rPr>
          <w:rFonts w:ascii="宋体" w:hAnsi="宋体" w:eastAsia="宋体" w:cs="仿宋"/>
          <w:b/>
          <w:color w:val="auto"/>
          <w:sz w:val="24"/>
          <w:szCs w:val="24"/>
          <w:highlight w:val="none"/>
        </w:rPr>
        <w:t>标准×</w:t>
      </w:r>
      <w:r>
        <w:rPr>
          <w:rFonts w:hint="eastAsia" w:ascii="宋体" w:hAnsi="宋体" w:eastAsia="宋体" w:cs="仿宋"/>
          <w:b/>
          <w:color w:val="auto"/>
          <w:sz w:val="24"/>
          <w:szCs w:val="24"/>
          <w:highlight w:val="none"/>
        </w:rPr>
        <w:t>入选费率，费率上限为</w:t>
      </w:r>
      <w:r>
        <w:rPr>
          <w:rFonts w:hint="eastAsia" w:ascii="宋体" w:hAnsi="宋体" w:eastAsia="宋体" w:cs="仿宋"/>
          <w:b/>
          <w:color w:val="auto"/>
          <w:sz w:val="24"/>
          <w:szCs w:val="24"/>
          <w:highlight w:val="none"/>
          <w:lang w:val="en-US" w:eastAsia="zh-CN"/>
        </w:rPr>
        <w:t>70</w:t>
      </w:r>
      <w:r>
        <w:rPr>
          <w:rFonts w:hint="eastAsia" w:ascii="宋体" w:hAnsi="宋体" w:eastAsia="宋体" w:cs="仿宋"/>
          <w:b/>
          <w:color w:val="auto"/>
          <w:sz w:val="24"/>
          <w:szCs w:val="24"/>
          <w:highlight w:val="none"/>
        </w:rPr>
        <w:t>%</w:t>
      </w:r>
      <w:r>
        <w:rPr>
          <w:rFonts w:hint="eastAsia" w:ascii="宋体" w:hAnsi="宋体" w:eastAsia="宋体" w:cs="仿宋"/>
          <w:b/>
          <w:color w:val="auto"/>
          <w:sz w:val="24"/>
          <w:szCs w:val="24"/>
          <w:highlight w:val="none"/>
          <w:lang w:eastAsia="zh-CN"/>
        </w:rPr>
        <w:t>；</w:t>
      </w:r>
      <w:r>
        <w:rPr>
          <w:rFonts w:hint="eastAsia" w:ascii="宋体" w:hAnsi="宋体" w:eastAsia="宋体" w:cs="仿宋"/>
          <w:b/>
          <w:color w:val="auto"/>
          <w:sz w:val="24"/>
          <w:szCs w:val="24"/>
          <w:highlight w:val="none"/>
        </w:rPr>
        <w:t>高于</w:t>
      </w:r>
      <w:r>
        <w:rPr>
          <w:rFonts w:hint="eastAsia" w:ascii="宋体" w:hAnsi="宋体" w:eastAsia="宋体" w:cs="仿宋"/>
          <w:b/>
          <w:color w:val="auto"/>
          <w:sz w:val="24"/>
          <w:szCs w:val="24"/>
          <w:highlight w:val="none"/>
          <w:lang w:val="en-US" w:eastAsia="zh-CN"/>
        </w:rPr>
        <w:t>70</w:t>
      </w:r>
      <w:r>
        <w:rPr>
          <w:rFonts w:hint="eastAsia" w:ascii="宋体" w:hAnsi="宋体" w:eastAsia="宋体" w:cs="仿宋"/>
          <w:b/>
          <w:color w:val="auto"/>
          <w:sz w:val="24"/>
          <w:szCs w:val="24"/>
          <w:highlight w:val="none"/>
        </w:rPr>
        <w:t>%的报价，征集人不接受，其申请作否决处理。</w:t>
      </w:r>
      <w:bookmarkEnd w:id="1"/>
    </w:p>
    <w:p>
      <w:pPr>
        <w:snapToGrid w:val="0"/>
        <w:spacing w:line="360" w:lineRule="auto"/>
        <w:ind w:firstLine="482" w:firstLineChars="200"/>
        <w:contextualSpacing/>
        <w:rPr>
          <w:rFonts w:ascii="宋体" w:hAnsi="宋体" w:eastAsia="宋体" w:cs="仿宋"/>
          <w:b/>
          <w:color w:val="auto"/>
          <w:sz w:val="24"/>
          <w:szCs w:val="24"/>
          <w:highlight w:val="none"/>
        </w:rPr>
      </w:pPr>
      <w:r>
        <w:rPr>
          <w:rFonts w:hint="eastAsia" w:ascii="宋体" w:hAnsi="宋体" w:eastAsia="宋体" w:cs="仿宋"/>
          <w:b/>
          <w:color w:val="auto"/>
          <w:sz w:val="24"/>
          <w:szCs w:val="24"/>
          <w:highlight w:val="none"/>
        </w:rPr>
        <w:t>2、</w:t>
      </w:r>
      <w:r>
        <w:rPr>
          <w:rFonts w:hint="eastAsia" w:ascii="宋体" w:hAnsi="宋体" w:eastAsia="宋体" w:cs="宋体"/>
          <w:color w:val="auto"/>
          <w:sz w:val="24"/>
          <w:szCs w:val="24"/>
          <w:highlight w:val="none"/>
        </w:rPr>
        <w:t>报价二：单项目收费报价</w:t>
      </w:r>
    </w:p>
    <w:p>
      <w:pPr>
        <w:snapToGrid w:val="0"/>
        <w:spacing w:line="360" w:lineRule="auto"/>
        <w:ind w:firstLine="480" w:firstLineChars="200"/>
        <w:contextualSpacing/>
        <w:rPr>
          <w:rFonts w:ascii="宋体" w:hAnsi="宋体" w:eastAsia="宋体" w:cs="仿宋"/>
          <w:b/>
          <w:color w:val="auto"/>
          <w:sz w:val="24"/>
          <w:szCs w:val="24"/>
          <w:highlight w:val="none"/>
        </w:rPr>
      </w:pPr>
      <w:r>
        <w:rPr>
          <w:rFonts w:hint="eastAsia" w:ascii="宋体" w:hAnsi="宋体" w:eastAsia="宋体" w:cs="宋体"/>
          <w:color w:val="auto"/>
          <w:sz w:val="24"/>
          <w:szCs w:val="24"/>
          <w:highlight w:val="none"/>
        </w:rPr>
        <w:t>单项目工程</w:t>
      </w:r>
      <w:r>
        <w:rPr>
          <w:rFonts w:hint="eastAsia" w:ascii="宋体" w:hAnsi="宋体" w:eastAsia="宋体" w:cs="宋体"/>
          <w:color w:val="auto"/>
          <w:sz w:val="24"/>
          <w:szCs w:val="24"/>
          <w:highlight w:val="none"/>
          <w:lang w:val="en-US" w:eastAsia="zh-CN"/>
        </w:rPr>
        <w:t>质量</w:t>
      </w:r>
      <w:r>
        <w:rPr>
          <w:rFonts w:hint="eastAsia" w:ascii="宋体" w:hAnsi="宋体" w:eastAsia="宋体" w:cs="宋体"/>
          <w:color w:val="auto"/>
          <w:sz w:val="24"/>
          <w:szCs w:val="24"/>
          <w:highlight w:val="none"/>
        </w:rPr>
        <w:t>检测合同收费</w:t>
      </w:r>
      <w:r>
        <w:rPr>
          <w:rFonts w:ascii="宋体" w:hAnsi="宋体" w:eastAsia="宋体" w:cs="宋体"/>
          <w:color w:val="auto"/>
          <w:sz w:val="24"/>
          <w:szCs w:val="24"/>
          <w:highlight w:val="none"/>
        </w:rPr>
        <w:t>报价在</w:t>
      </w:r>
      <w:r>
        <w:rPr>
          <w:rFonts w:hint="eastAsia" w:ascii="宋体" w:hAnsi="宋体" w:eastAsia="宋体" w:cs="宋体"/>
          <w:color w:val="auto"/>
          <w:sz w:val="24"/>
          <w:szCs w:val="24"/>
          <w:highlight w:val="none"/>
          <w:lang w:val="en-US" w:eastAsia="zh-CN"/>
        </w:rPr>
        <w:t>9</w:t>
      </w:r>
      <w:r>
        <w:rPr>
          <w:rFonts w:ascii="宋体" w:hAnsi="宋体" w:eastAsia="宋体" w:cs="宋体"/>
          <w:color w:val="auto"/>
          <w:sz w:val="24"/>
          <w:szCs w:val="24"/>
          <w:highlight w:val="none"/>
        </w:rPr>
        <w:t>元/㎡（含）以下的比选报价为有效报价，</w:t>
      </w:r>
      <w:r>
        <w:rPr>
          <w:rFonts w:hint="eastAsia" w:ascii="宋体" w:hAnsi="宋体" w:eastAsia="宋体" w:cs="宋体"/>
          <w:color w:val="auto"/>
          <w:sz w:val="24"/>
          <w:szCs w:val="24"/>
          <w:highlight w:val="none"/>
        </w:rPr>
        <w:t>单项目工程</w:t>
      </w:r>
      <w:r>
        <w:rPr>
          <w:rFonts w:hint="eastAsia" w:ascii="宋体" w:hAnsi="宋体" w:eastAsia="宋体" w:cs="宋体"/>
          <w:color w:val="auto"/>
          <w:sz w:val="24"/>
          <w:szCs w:val="24"/>
          <w:highlight w:val="none"/>
          <w:lang w:val="en-US" w:eastAsia="zh-CN"/>
        </w:rPr>
        <w:t>桩基</w:t>
      </w:r>
      <w:r>
        <w:rPr>
          <w:rFonts w:hint="eastAsia" w:ascii="宋体" w:hAnsi="宋体" w:eastAsia="宋体" w:cs="宋体"/>
          <w:color w:val="auto"/>
          <w:sz w:val="24"/>
          <w:szCs w:val="24"/>
          <w:highlight w:val="none"/>
        </w:rPr>
        <w:t>检测合同收费</w:t>
      </w:r>
      <w:r>
        <w:rPr>
          <w:rFonts w:ascii="宋体" w:hAnsi="宋体" w:eastAsia="宋体" w:cs="宋体"/>
          <w:color w:val="auto"/>
          <w:sz w:val="24"/>
          <w:szCs w:val="24"/>
          <w:highlight w:val="none"/>
        </w:rPr>
        <w:t>报价在</w:t>
      </w:r>
      <w:r>
        <w:rPr>
          <w:rFonts w:hint="eastAsia" w:ascii="宋体" w:hAnsi="宋体" w:eastAsia="宋体" w:cs="宋体"/>
          <w:color w:val="auto"/>
          <w:sz w:val="24"/>
          <w:szCs w:val="24"/>
          <w:highlight w:val="none"/>
          <w:lang w:val="en-US" w:eastAsia="zh-CN"/>
        </w:rPr>
        <w:t>5</w:t>
      </w:r>
      <w:r>
        <w:rPr>
          <w:rFonts w:ascii="宋体" w:hAnsi="宋体" w:eastAsia="宋体" w:cs="宋体"/>
          <w:color w:val="auto"/>
          <w:sz w:val="24"/>
          <w:szCs w:val="24"/>
          <w:highlight w:val="none"/>
        </w:rPr>
        <w:t>元/㎡（含）以下的比选报价为有效报价</w:t>
      </w:r>
      <w:r>
        <w:rPr>
          <w:rFonts w:hint="eastAsia" w:ascii="宋体" w:hAnsi="宋体" w:eastAsia="宋体" w:cs="宋体"/>
          <w:color w:val="auto"/>
          <w:sz w:val="24"/>
          <w:szCs w:val="24"/>
          <w:highlight w:val="none"/>
          <w:lang w:eastAsia="zh-CN"/>
        </w:rPr>
        <w:t>，</w:t>
      </w:r>
      <w:r>
        <w:rPr>
          <w:rFonts w:ascii="宋体" w:hAnsi="宋体" w:eastAsia="宋体" w:cs="宋体"/>
          <w:b/>
          <w:color w:val="auto"/>
          <w:sz w:val="24"/>
          <w:szCs w:val="24"/>
          <w:highlight w:val="none"/>
        </w:rPr>
        <w:t>费用为总价包干方式</w:t>
      </w:r>
      <w:r>
        <w:rPr>
          <w:rFonts w:hint="eastAsia" w:ascii="宋体" w:hAnsi="宋体" w:eastAsia="宋体" w:cs="宋体"/>
          <w:b/>
          <w:color w:val="auto"/>
          <w:sz w:val="24"/>
          <w:szCs w:val="24"/>
          <w:highlight w:val="none"/>
        </w:rPr>
        <w:t>，</w:t>
      </w:r>
      <w:r>
        <w:rPr>
          <w:rFonts w:ascii="宋体" w:hAnsi="宋体" w:eastAsia="宋体" w:cs="宋体"/>
          <w:b/>
          <w:color w:val="auto"/>
          <w:sz w:val="24"/>
          <w:szCs w:val="24"/>
          <w:highlight w:val="none"/>
        </w:rPr>
        <w:t>包括确保项目满足竣工验收条件规范要求的所有</w:t>
      </w:r>
      <w:r>
        <w:rPr>
          <w:rFonts w:hint="eastAsia" w:ascii="宋体" w:hAnsi="宋体" w:eastAsia="宋体" w:cs="宋体"/>
          <w:b/>
          <w:color w:val="auto"/>
          <w:sz w:val="24"/>
          <w:szCs w:val="24"/>
          <w:highlight w:val="none"/>
        </w:rPr>
        <w:t>工程</w:t>
      </w:r>
      <w:r>
        <w:rPr>
          <w:rFonts w:ascii="宋体" w:hAnsi="宋体" w:eastAsia="宋体" w:cs="宋体"/>
          <w:b/>
          <w:color w:val="auto"/>
          <w:sz w:val="24"/>
          <w:szCs w:val="24"/>
          <w:highlight w:val="none"/>
        </w:rPr>
        <w:t>委托</w:t>
      </w:r>
      <w:r>
        <w:rPr>
          <w:rFonts w:hint="eastAsia" w:ascii="宋体" w:hAnsi="宋体" w:eastAsia="宋体" w:cs="宋体"/>
          <w:b/>
          <w:color w:val="auto"/>
          <w:sz w:val="24"/>
          <w:szCs w:val="24"/>
          <w:highlight w:val="none"/>
        </w:rPr>
        <w:t>检测</w:t>
      </w:r>
      <w:r>
        <w:rPr>
          <w:rFonts w:ascii="宋体" w:hAnsi="宋体" w:eastAsia="宋体" w:cs="宋体"/>
          <w:b/>
          <w:color w:val="auto"/>
          <w:sz w:val="24"/>
          <w:szCs w:val="24"/>
          <w:highlight w:val="none"/>
        </w:rPr>
        <w:t>和</w:t>
      </w:r>
      <w:r>
        <w:rPr>
          <w:rFonts w:hint="eastAsia" w:ascii="宋体" w:hAnsi="宋体" w:eastAsia="宋体" w:cs="宋体"/>
          <w:b/>
          <w:color w:val="auto"/>
          <w:sz w:val="24"/>
          <w:szCs w:val="24"/>
          <w:highlight w:val="none"/>
        </w:rPr>
        <w:t>检测</w:t>
      </w:r>
      <w:r>
        <w:rPr>
          <w:rFonts w:ascii="宋体" w:hAnsi="宋体" w:eastAsia="宋体" w:cs="宋体"/>
          <w:b/>
          <w:color w:val="auto"/>
          <w:sz w:val="24"/>
          <w:szCs w:val="24"/>
          <w:highlight w:val="none"/>
        </w:rPr>
        <w:t>业务所需的全部费用</w:t>
      </w:r>
      <w:r>
        <w:rPr>
          <w:rFonts w:hint="eastAsia" w:ascii="宋体" w:hAnsi="宋体" w:eastAsia="宋体" w:cs="宋体"/>
          <w:b/>
          <w:color w:val="auto"/>
          <w:sz w:val="24"/>
          <w:szCs w:val="24"/>
          <w:highlight w:val="none"/>
        </w:rPr>
        <w:t>（含项目分批、分期实施可能增加的任何额外检测费用）</w:t>
      </w:r>
      <w:r>
        <w:rPr>
          <w:rFonts w:hint="eastAsia" w:ascii="宋体" w:hAnsi="宋体" w:eastAsia="宋体" w:cs="宋体"/>
          <w:color w:val="auto"/>
          <w:sz w:val="24"/>
          <w:szCs w:val="24"/>
          <w:highlight w:val="none"/>
        </w:rPr>
        <w:t>。</w:t>
      </w:r>
    </w:p>
    <w:p>
      <w:pPr>
        <w:snapToGrid w:val="0"/>
        <w:spacing w:line="360" w:lineRule="auto"/>
        <w:ind w:firstLine="482" w:firstLineChars="200"/>
        <w:contextualSpacing/>
        <w:rPr>
          <w:rFonts w:ascii="宋体" w:hAnsi="宋体" w:eastAsia="宋体" w:cs="仿宋"/>
          <w:b/>
          <w:color w:val="auto"/>
          <w:sz w:val="24"/>
          <w:szCs w:val="24"/>
          <w:highlight w:val="none"/>
        </w:rPr>
      </w:pPr>
      <w:r>
        <w:rPr>
          <w:rFonts w:ascii="宋体" w:hAnsi="宋体" w:eastAsia="宋体" w:cs="仿宋"/>
          <w:b/>
          <w:color w:val="auto"/>
          <w:sz w:val="24"/>
          <w:szCs w:val="24"/>
          <w:highlight w:val="none"/>
        </w:rPr>
        <w:t>最终</w:t>
      </w:r>
      <w:r>
        <w:rPr>
          <w:rFonts w:hint="eastAsia" w:ascii="宋体" w:hAnsi="宋体" w:eastAsia="宋体" w:cs="仿宋"/>
          <w:b/>
          <w:color w:val="auto"/>
          <w:sz w:val="24"/>
          <w:szCs w:val="24"/>
          <w:highlight w:val="none"/>
        </w:rPr>
        <w:t>工程检测</w:t>
      </w:r>
      <w:r>
        <w:rPr>
          <w:rFonts w:ascii="宋体" w:hAnsi="宋体" w:eastAsia="宋体" w:cs="仿宋"/>
          <w:b/>
          <w:color w:val="auto"/>
          <w:sz w:val="24"/>
          <w:szCs w:val="24"/>
          <w:highlight w:val="none"/>
        </w:rPr>
        <w:t>服务费的收取按</w:t>
      </w:r>
      <w:r>
        <w:rPr>
          <w:rFonts w:hint="eastAsia" w:ascii="宋体" w:hAnsi="宋体" w:eastAsia="宋体" w:cs="仿宋"/>
          <w:b/>
          <w:color w:val="auto"/>
          <w:sz w:val="24"/>
          <w:szCs w:val="24"/>
          <w:highlight w:val="none"/>
        </w:rPr>
        <w:t>实际检测项目收费</w:t>
      </w:r>
      <w:r>
        <w:rPr>
          <w:rFonts w:ascii="宋体" w:hAnsi="宋体" w:eastAsia="宋体" w:cs="仿宋"/>
          <w:b/>
          <w:color w:val="auto"/>
          <w:sz w:val="24"/>
          <w:szCs w:val="24"/>
          <w:highlight w:val="none"/>
        </w:rPr>
        <w:t>执行，低于</w:t>
      </w:r>
      <w:r>
        <w:rPr>
          <w:rFonts w:hint="eastAsia" w:ascii="宋体" w:hAnsi="宋体" w:eastAsia="宋体" w:cs="仿宋"/>
          <w:b/>
          <w:color w:val="auto"/>
          <w:sz w:val="24"/>
          <w:szCs w:val="24"/>
          <w:highlight w:val="none"/>
        </w:rPr>
        <w:t>单项目工程检测</w:t>
      </w:r>
      <w:r>
        <w:rPr>
          <w:rFonts w:ascii="宋体" w:hAnsi="宋体" w:eastAsia="宋体" w:cs="仿宋"/>
          <w:b/>
          <w:color w:val="auto"/>
          <w:sz w:val="24"/>
          <w:szCs w:val="24"/>
          <w:highlight w:val="none"/>
        </w:rPr>
        <w:t>合同总价的按实予以扣除；高于</w:t>
      </w:r>
      <w:r>
        <w:rPr>
          <w:rFonts w:hint="eastAsia" w:ascii="宋体" w:hAnsi="宋体" w:eastAsia="宋体" w:cs="仿宋"/>
          <w:b/>
          <w:color w:val="auto"/>
          <w:sz w:val="24"/>
          <w:szCs w:val="24"/>
          <w:highlight w:val="none"/>
        </w:rPr>
        <w:t>单项目工程检测</w:t>
      </w:r>
      <w:r>
        <w:rPr>
          <w:rFonts w:ascii="宋体" w:hAnsi="宋体" w:eastAsia="宋体" w:cs="仿宋"/>
          <w:b/>
          <w:color w:val="auto"/>
          <w:sz w:val="24"/>
          <w:szCs w:val="24"/>
          <w:highlight w:val="none"/>
        </w:rPr>
        <w:t>合同总价的，按原合同总价结算，不再增加任何额外费用。</w:t>
      </w:r>
    </w:p>
    <w:p>
      <w:pPr>
        <w:snapToGrid w:val="0"/>
        <w:spacing w:line="360" w:lineRule="auto"/>
        <w:ind w:firstLine="482" w:firstLineChars="200"/>
        <w:contextualSpacing/>
        <w:rPr>
          <w:rFonts w:ascii="宋体" w:hAnsi="宋体" w:eastAsia="宋体" w:cs="仿宋"/>
          <w:b/>
          <w:color w:val="auto"/>
          <w:sz w:val="24"/>
          <w:szCs w:val="24"/>
          <w:highlight w:val="none"/>
        </w:rPr>
      </w:pPr>
      <w:r>
        <w:rPr>
          <w:rFonts w:hint="eastAsia" w:ascii="宋体" w:hAnsi="宋体" w:eastAsia="宋体" w:cs="宋体"/>
          <w:b/>
          <w:color w:val="auto"/>
          <w:kern w:val="0"/>
          <w:sz w:val="24"/>
          <w:szCs w:val="24"/>
          <w:highlight w:val="none"/>
        </w:rPr>
        <w:t>五、获取征集文件的时间期限、地点、方式：</w:t>
      </w:r>
    </w:p>
    <w:p>
      <w:pPr>
        <w:widowControl/>
        <w:adjustRightInd w:val="0"/>
        <w:snapToGrid w:val="0"/>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1.获取征集文件的时间、期限：凡有意参加申请者，可按以下方式获取电子征集文件：</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招标在南通沿海开发集团有限公司官网（http://www.ncd-group.com/）和江苏省招标投标公共服务平台（https://www.jszbtb.com/#/newindex）同步发布，招标文件的澄清、修改、补充等内容均以在南通沿海开发集团有限公司官网和江苏省招标投标公共服务平台上发布的内容为准，修改内容作为招标文件的组成部分，具有约束作用。</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有意愿参与本项目投标的单位，请于2023年06</w:t>
      </w: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mailto:月27日17时前，将符合本项目资格要求且有效的营业执照扫描件和法定代表人授权委托书扫描件发送至以下邮箱hys0314@163.com，并与招标代理机构联系人电话确认报名成功后，招标代理机构将招标文件通过电子邮件形式发送，电子招标文件与纸质招标文件具有同等法律效力。未按招标文件要求进行报名的供应商视为放弃投标资格。"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27</w:t>
      </w:r>
      <w:r>
        <w:rPr>
          <w:rFonts w:hint="eastAsia" w:ascii="宋体" w:hAnsi="宋体" w:eastAsia="宋体" w:cs="宋体"/>
          <w:color w:val="auto"/>
          <w:kern w:val="0"/>
          <w:sz w:val="24"/>
          <w:szCs w:val="24"/>
          <w:highlight w:val="none"/>
        </w:rPr>
        <w:t>日17时前，将符合本项目资格要求且有效的营业执照扫描件和法定代表人授权委托书扫描件发送至以下邮箱</w:t>
      </w:r>
      <w:r>
        <w:rPr>
          <w:rFonts w:hint="eastAsia" w:ascii="宋体" w:hAnsi="宋体" w:eastAsia="宋体" w:cs="宋体"/>
          <w:color w:val="auto"/>
          <w:kern w:val="0"/>
          <w:sz w:val="24"/>
          <w:szCs w:val="24"/>
          <w:highlight w:val="none"/>
          <w:lang w:val="en-US" w:eastAsia="zh-CN"/>
        </w:rPr>
        <w:t>qgq_111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outlook</w:t>
      </w:r>
      <w:r>
        <w:rPr>
          <w:rFonts w:hint="eastAsia" w:ascii="宋体" w:hAnsi="宋体" w:eastAsia="宋体" w:cs="宋体"/>
          <w:color w:val="auto"/>
          <w:kern w:val="0"/>
          <w:sz w:val="24"/>
          <w:szCs w:val="24"/>
          <w:highlight w:val="none"/>
        </w:rPr>
        <w:t>.com，并与</w:t>
      </w:r>
      <w:r>
        <w:rPr>
          <w:rFonts w:hint="eastAsia" w:ascii="宋体" w:hAnsi="宋体" w:eastAsia="宋体" w:cs="宋体"/>
          <w:color w:val="auto"/>
          <w:kern w:val="0"/>
          <w:sz w:val="24"/>
          <w:szCs w:val="24"/>
          <w:highlight w:val="none"/>
          <w:lang w:val="en-US" w:eastAsia="zh-CN"/>
        </w:rPr>
        <w:t>征集人</w:t>
      </w:r>
      <w:r>
        <w:rPr>
          <w:rFonts w:hint="eastAsia" w:ascii="宋体" w:hAnsi="宋体" w:eastAsia="宋体" w:cs="宋体"/>
          <w:color w:val="auto"/>
          <w:kern w:val="0"/>
          <w:sz w:val="24"/>
          <w:szCs w:val="24"/>
          <w:highlight w:val="none"/>
        </w:rPr>
        <w:t>电话</w:t>
      </w:r>
      <w:r>
        <w:rPr>
          <w:rFonts w:hint="eastAsia" w:ascii="宋体" w:hAnsi="宋体" w:eastAsia="宋体" w:cs="宋体"/>
          <w:color w:val="auto"/>
          <w:kern w:val="0"/>
          <w:sz w:val="24"/>
          <w:szCs w:val="24"/>
          <w:highlight w:val="none"/>
          <w:lang w:val="en-US" w:eastAsia="zh-CN"/>
        </w:rPr>
        <w:t>联系</w:t>
      </w:r>
      <w:r>
        <w:rPr>
          <w:rFonts w:hint="eastAsia" w:ascii="宋体" w:hAnsi="宋体" w:eastAsia="宋体" w:cs="宋体"/>
          <w:color w:val="auto"/>
          <w:kern w:val="0"/>
          <w:sz w:val="24"/>
          <w:szCs w:val="24"/>
          <w:highlight w:val="none"/>
        </w:rPr>
        <w:t>后，</w:t>
      </w:r>
      <w:r>
        <w:rPr>
          <w:rFonts w:hint="eastAsia" w:ascii="宋体" w:hAnsi="宋体" w:eastAsia="宋体" w:cs="宋体"/>
          <w:color w:val="auto"/>
          <w:kern w:val="0"/>
          <w:sz w:val="24"/>
          <w:szCs w:val="24"/>
          <w:highlight w:val="none"/>
          <w:lang w:val="en-US" w:eastAsia="zh-CN"/>
        </w:rPr>
        <w:t>征集人</w:t>
      </w:r>
      <w:r>
        <w:rPr>
          <w:rFonts w:hint="eastAsia" w:ascii="宋体" w:hAnsi="宋体" w:eastAsia="宋体" w:cs="宋体"/>
          <w:color w:val="auto"/>
          <w:kern w:val="0"/>
          <w:sz w:val="24"/>
          <w:szCs w:val="24"/>
          <w:highlight w:val="none"/>
        </w:rPr>
        <w:t>将招标文件通过电子邮件形式发送，电子招标文件与纸质招标文件具有同等法律效力。未按招标文件要求进行报名的供应商视为放弃投标资格。</w:t>
      </w:r>
      <w:r>
        <w:rPr>
          <w:rFonts w:hint="eastAsia" w:ascii="宋体" w:hAnsi="宋体" w:eastAsia="宋体" w:cs="宋体"/>
          <w:color w:val="auto"/>
          <w:kern w:val="0"/>
          <w:sz w:val="24"/>
          <w:szCs w:val="24"/>
          <w:highlight w:val="none"/>
        </w:rPr>
        <w:fldChar w:fldCharType="end"/>
      </w:r>
    </w:p>
    <w:p>
      <w:pPr>
        <w:adjustRightInd w:val="0"/>
        <w:snapToGrid w:val="0"/>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所有信息资料在网站上一经公布，视为申请人已知悉并且按要求进行了修改，征集人无需采取其他方式另行通知。当征集公告、征集公告的澄清、修改、补充等在同一内容的表述上不一致时，以最后网上发出的文件为准。否则，由此引起的损失及责任由申请人自行承担。</w:t>
      </w:r>
    </w:p>
    <w:p>
      <w:pPr>
        <w:adjustRightInd w:val="0"/>
        <w:snapToGrid w:val="0"/>
        <w:spacing w:line="360" w:lineRule="auto"/>
        <w:ind w:firstLine="482" w:firstLineChars="200"/>
        <w:jc w:val="left"/>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六、公告期限：</w:t>
      </w:r>
    </w:p>
    <w:p>
      <w:pPr>
        <w:widowControl/>
        <w:adjustRightInd w:val="0"/>
        <w:snapToGrid w:val="0"/>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本征集公告的发布期限为</w:t>
      </w:r>
      <w:r>
        <w:rPr>
          <w:rFonts w:hint="eastAsia" w:ascii="宋体" w:hAnsi="宋体" w:eastAsia="宋体" w:cs="宋体"/>
          <w:color w:val="auto"/>
          <w:kern w:val="0"/>
          <w:sz w:val="24"/>
          <w:szCs w:val="24"/>
          <w:highlight w:val="none"/>
          <w:lang w:val="en-US" w:eastAsia="zh-CN"/>
        </w:rPr>
        <w:t>10个日历天</w:t>
      </w:r>
      <w:r>
        <w:rPr>
          <w:rFonts w:hint="eastAsia" w:ascii="宋体" w:hAnsi="宋体" w:eastAsia="宋体" w:cs="宋体"/>
          <w:color w:val="auto"/>
          <w:kern w:val="0"/>
          <w:sz w:val="24"/>
          <w:szCs w:val="24"/>
          <w:highlight w:val="none"/>
        </w:rPr>
        <w:t>。</w:t>
      </w:r>
    </w:p>
    <w:p>
      <w:pPr>
        <w:widowControl/>
        <w:adjustRightInd w:val="0"/>
        <w:snapToGrid w:val="0"/>
        <w:spacing w:line="360" w:lineRule="auto"/>
        <w:ind w:firstLine="482" w:firstLineChars="200"/>
        <w:jc w:val="left"/>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七、征集截止时间、开标时间及地点：</w:t>
      </w:r>
    </w:p>
    <w:p>
      <w:pPr>
        <w:adjustRightInd w:val="0"/>
        <w:snapToGrid w:val="0"/>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征集截止时间：</w:t>
      </w:r>
      <w:r>
        <w:rPr>
          <w:rFonts w:hint="eastAsia" w:ascii="宋体" w:hAnsi="宋体" w:eastAsia="宋体" w:cs="宋体"/>
          <w:color w:val="auto"/>
          <w:kern w:val="0"/>
          <w:sz w:val="24"/>
          <w:szCs w:val="24"/>
          <w:highlight w:val="none"/>
        </w:rPr>
        <w:t>2023年</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月</w:t>
      </w:r>
      <w:r>
        <w:rPr>
          <w:rFonts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日上午09:</w:t>
      </w:r>
      <w:r>
        <w:rPr>
          <w:rFonts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rPr>
        <w:t>0</w:t>
      </w:r>
    </w:p>
    <w:p>
      <w:pPr>
        <w:adjustRightInd w:val="0"/>
        <w:snapToGrid w:val="0"/>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比选时间：</w:t>
      </w:r>
      <w:r>
        <w:rPr>
          <w:rFonts w:hint="eastAsia" w:ascii="宋体" w:hAnsi="宋体" w:eastAsia="宋体" w:cs="宋体"/>
          <w:color w:val="auto"/>
          <w:kern w:val="0"/>
          <w:sz w:val="24"/>
          <w:szCs w:val="24"/>
          <w:highlight w:val="none"/>
        </w:rPr>
        <w:t>2023年</w:t>
      </w:r>
      <w:r>
        <w:rPr>
          <w:rFonts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日上午09:</w:t>
      </w:r>
      <w:r>
        <w:rPr>
          <w:rFonts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rPr>
        <w:t>0</w:t>
      </w:r>
      <w:r>
        <w:rPr>
          <w:rFonts w:hint="eastAsia" w:ascii="宋体" w:hAnsi="宋体" w:eastAsia="宋体" w:cs="宋体"/>
          <w:color w:val="auto"/>
          <w:kern w:val="0"/>
          <w:sz w:val="24"/>
          <w:szCs w:val="24"/>
          <w:highlight w:val="none"/>
        </w:rPr>
        <w:t xml:space="preserve"> </w:t>
      </w:r>
      <w:bookmarkStart w:id="15" w:name="_GoBack"/>
      <w:bookmarkEnd w:id="15"/>
    </w:p>
    <w:p>
      <w:pPr>
        <w:adjustRightInd w:val="0"/>
        <w:snapToGrid w:val="0"/>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比选地点：</w:t>
      </w:r>
      <w:r>
        <w:rPr>
          <w:rFonts w:hint="eastAsia" w:ascii="宋体" w:hAnsi="宋体" w:eastAsia="宋体" w:cs="宋体"/>
          <w:b/>
          <w:bCs/>
          <w:color w:val="auto"/>
          <w:kern w:val="0"/>
          <w:sz w:val="24"/>
          <w:szCs w:val="24"/>
          <w:highlight w:val="none"/>
          <w:u w:val="single"/>
        </w:rPr>
        <w:t>南通市崇文路1号启瑞广场主楼5楼开标室</w:t>
      </w:r>
    </w:p>
    <w:p>
      <w:pPr>
        <w:snapToGrid w:val="0"/>
        <w:spacing w:line="360" w:lineRule="auto"/>
        <w:ind w:firstLine="482" w:firstLineChars="200"/>
        <w:jc w:val="left"/>
        <w:rPr>
          <w:rFonts w:ascii="宋体" w:hAnsi="宋体" w:eastAsia="宋体" w:cs="宋体"/>
          <w:b/>
          <w:bCs/>
          <w:color w:val="auto"/>
          <w:kern w:val="0"/>
          <w:sz w:val="24"/>
          <w:szCs w:val="24"/>
          <w:highlight w:val="none"/>
        </w:rPr>
      </w:pPr>
      <w:bookmarkStart w:id="2" w:name="_Toc522571199"/>
      <w:r>
        <w:rPr>
          <w:rFonts w:hint="eastAsia" w:ascii="宋体" w:hAnsi="宋体" w:eastAsia="宋体" w:cs="宋体"/>
          <w:b/>
          <w:bCs/>
          <w:color w:val="auto"/>
          <w:kern w:val="0"/>
          <w:sz w:val="24"/>
          <w:szCs w:val="24"/>
          <w:highlight w:val="none"/>
        </w:rPr>
        <w:t>八、</w:t>
      </w:r>
      <w:bookmarkEnd w:id="2"/>
      <w:r>
        <w:rPr>
          <w:rFonts w:hint="eastAsia" w:ascii="宋体" w:hAnsi="宋体" w:eastAsia="宋体" w:cs="宋体"/>
          <w:b/>
          <w:bCs/>
          <w:color w:val="auto"/>
          <w:kern w:val="0"/>
          <w:sz w:val="24"/>
          <w:szCs w:val="24"/>
          <w:highlight w:val="none"/>
        </w:rPr>
        <w:t>评审流程：</w:t>
      </w:r>
    </w:p>
    <w:p>
      <w:pPr>
        <w:snapToGrid w:val="0"/>
        <w:spacing w:line="360" w:lineRule="auto"/>
        <w:ind w:firstLine="480" w:firstLineChars="200"/>
        <w:jc w:val="left"/>
        <w:rPr>
          <w:rFonts w:ascii="宋体" w:hAnsi="宋体" w:eastAsia="宋体" w:cs="宋体"/>
          <w:color w:val="auto"/>
          <w:kern w:val="0"/>
          <w:sz w:val="24"/>
          <w:szCs w:val="24"/>
          <w:highlight w:val="none"/>
        </w:rPr>
      </w:pPr>
      <w:bookmarkStart w:id="3" w:name="_Toc522571201"/>
      <w:r>
        <w:rPr>
          <w:rFonts w:hint="eastAsia" w:ascii="宋体" w:hAnsi="宋体" w:eastAsia="宋体" w:cs="宋体"/>
          <w:color w:val="auto"/>
          <w:kern w:val="0"/>
          <w:sz w:val="24"/>
          <w:szCs w:val="24"/>
          <w:highlight w:val="none"/>
        </w:rPr>
        <w:t>本项目评审程序：</w:t>
      </w:r>
      <w:bookmarkStart w:id="4" w:name="_Hlk114128597"/>
      <w:r>
        <w:rPr>
          <w:rFonts w:hint="eastAsia" w:ascii="宋体" w:hAnsi="宋体" w:eastAsia="宋体" w:cs="宋体"/>
          <w:color w:val="auto"/>
          <w:kern w:val="0"/>
          <w:sz w:val="24"/>
          <w:szCs w:val="24"/>
          <w:highlight w:val="none"/>
        </w:rPr>
        <w:t>资格符合性审查→申请文件评审→</w:t>
      </w:r>
      <w:r>
        <w:rPr>
          <w:rFonts w:hint="eastAsia" w:ascii="宋体" w:hAnsi="宋体" w:eastAsia="宋体" w:cs="仿宋"/>
          <w:color w:val="auto"/>
          <w:sz w:val="24"/>
          <w:szCs w:val="24"/>
          <w:highlight w:val="none"/>
        </w:rPr>
        <w:t>报价文件评审→</w:t>
      </w:r>
      <w:r>
        <w:rPr>
          <w:rFonts w:hint="eastAsia" w:ascii="宋体" w:hAnsi="宋体" w:eastAsia="宋体" w:cs="宋体"/>
          <w:color w:val="auto"/>
          <w:kern w:val="0"/>
          <w:sz w:val="24"/>
          <w:szCs w:val="24"/>
          <w:highlight w:val="none"/>
        </w:rPr>
        <w:t>确定入选单位</w:t>
      </w:r>
      <w:bookmarkEnd w:id="4"/>
      <w:r>
        <w:rPr>
          <w:rFonts w:hint="eastAsia" w:ascii="宋体" w:hAnsi="宋体" w:eastAsia="宋体" w:cs="宋体"/>
          <w:color w:val="auto"/>
          <w:kern w:val="0"/>
          <w:sz w:val="24"/>
          <w:szCs w:val="24"/>
          <w:highlight w:val="none"/>
        </w:rPr>
        <w:t>，具体详见征集文件。</w:t>
      </w:r>
    </w:p>
    <w:p>
      <w:pPr>
        <w:snapToGrid w:val="0"/>
        <w:spacing w:line="360" w:lineRule="auto"/>
        <w:ind w:firstLine="482" w:firstLineChars="200"/>
        <w:jc w:val="lef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九、比选费用：</w:t>
      </w:r>
    </w:p>
    <w:p>
      <w:pPr>
        <w:snapToGrid w:val="0"/>
        <w:spacing w:line="360" w:lineRule="auto"/>
        <w:ind w:firstLine="480" w:firstLineChars="200"/>
        <w:jc w:val="left"/>
        <w:rPr>
          <w:rFonts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1</w:t>
      </w:r>
      <w:r>
        <w:rPr>
          <w:rFonts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rPr>
        <w:t>申请人应承担其编制申请文件以及递交申请文件所涉及的一切费用。无论比选结果如何，申请人对上述费用不负任何责任。</w:t>
      </w:r>
    </w:p>
    <w:p>
      <w:pPr>
        <w:snapToGrid w:val="0"/>
        <w:spacing w:line="360" w:lineRule="auto"/>
        <w:ind w:firstLine="482" w:firstLineChars="200"/>
        <w:jc w:val="lef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十、联系方式</w:t>
      </w:r>
      <w:bookmarkEnd w:id="3"/>
      <w:r>
        <w:rPr>
          <w:rFonts w:hint="eastAsia" w:ascii="宋体" w:hAnsi="宋体" w:eastAsia="宋体" w:cs="宋体"/>
          <w:b/>
          <w:bCs/>
          <w:color w:val="auto"/>
          <w:kern w:val="0"/>
          <w:sz w:val="24"/>
          <w:szCs w:val="24"/>
          <w:highlight w:val="none"/>
        </w:rPr>
        <w:t>：</w:t>
      </w:r>
    </w:p>
    <w:p>
      <w:pPr>
        <w:snapToGrid w:val="0"/>
        <w:spacing w:line="360" w:lineRule="auto"/>
        <w:ind w:firstLine="482" w:firstLineChars="200"/>
        <w:jc w:val="left"/>
        <w:rPr>
          <w:rFonts w:hint="default" w:eastAsia="宋体"/>
          <w:color w:val="auto"/>
          <w:highlight w:val="none"/>
          <w:lang w:val="en-US" w:eastAsia="zh-CN"/>
        </w:rPr>
      </w:pPr>
      <w:r>
        <w:rPr>
          <w:rFonts w:hint="eastAsia" w:ascii="宋体" w:hAnsi="宋体" w:eastAsia="宋体" w:cs="宋体"/>
          <w:b/>
          <w:bCs/>
          <w:color w:val="auto"/>
          <w:kern w:val="0"/>
          <w:sz w:val="24"/>
          <w:szCs w:val="24"/>
          <w:highlight w:val="none"/>
        </w:rPr>
        <w:t>征集单位：</w:t>
      </w:r>
      <w:r>
        <w:rPr>
          <w:rFonts w:hint="eastAsia" w:ascii="宋体" w:hAnsi="宋体" w:eastAsia="宋体" w:cs="宋体"/>
          <w:b/>
          <w:bCs/>
          <w:color w:val="auto"/>
          <w:kern w:val="0"/>
          <w:sz w:val="24"/>
          <w:szCs w:val="24"/>
          <w:highlight w:val="none"/>
          <w:lang w:val="en-US" w:eastAsia="zh-CN"/>
        </w:rPr>
        <w:t>江苏盛和房地产股份有限公司</w:t>
      </w:r>
    </w:p>
    <w:p>
      <w:pPr>
        <w:snapToGrid w:val="0"/>
        <w:spacing w:line="360" w:lineRule="auto"/>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lang w:val="en-US" w:eastAsia="zh-CN"/>
        </w:rPr>
        <w:t>南通市崇川区崇文路1号启瑞广场16楼</w:t>
      </w:r>
    </w:p>
    <w:p>
      <w:pPr>
        <w:snapToGrid w:val="0"/>
        <w:spacing w:line="360" w:lineRule="auto"/>
        <w:ind w:firstLine="480" w:firstLineChars="200"/>
        <w:jc w:val="left"/>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color w:val="auto"/>
          <w:kern w:val="0"/>
          <w:sz w:val="24"/>
          <w:szCs w:val="24"/>
          <w:highlight w:val="none"/>
        </w:rPr>
        <w:t>联系人：</w:t>
      </w:r>
      <w:r>
        <w:rPr>
          <w:rFonts w:hint="eastAsia" w:ascii="宋体" w:hAnsi="宋体" w:eastAsia="宋体" w:cs="宋体"/>
          <w:color w:val="auto"/>
          <w:kern w:val="0"/>
          <w:sz w:val="24"/>
          <w:szCs w:val="24"/>
          <w:highlight w:val="none"/>
          <w:lang w:val="en-US" w:eastAsia="zh-CN"/>
        </w:rPr>
        <w:t>钱先生</w:t>
      </w:r>
    </w:p>
    <w:p>
      <w:pPr>
        <w:snapToGrid w:val="0"/>
        <w:spacing w:line="360" w:lineRule="auto"/>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联系电话：</w:t>
      </w:r>
      <w:r>
        <w:rPr>
          <w:rFonts w:hint="eastAsia" w:ascii="宋体" w:hAnsi="宋体" w:eastAsia="宋体" w:cs="宋体"/>
          <w:color w:val="auto"/>
          <w:kern w:val="0"/>
          <w:sz w:val="24"/>
          <w:szCs w:val="24"/>
          <w:highlight w:val="none"/>
          <w:lang w:val="en-US" w:eastAsia="zh-CN"/>
        </w:rPr>
        <w:t>15206279499</w:t>
      </w:r>
    </w:p>
    <w:p>
      <w:pPr>
        <w:snapToGrid w:val="0"/>
        <w:spacing w:line="360" w:lineRule="auto"/>
        <w:ind w:firstLine="480" w:firstLineChars="200"/>
        <w:jc w:val="left"/>
        <w:rPr>
          <w:rFonts w:ascii="宋体" w:hAnsi="宋体" w:eastAsia="宋体" w:cs="宋体"/>
          <w:color w:val="auto"/>
          <w:kern w:val="0"/>
          <w:sz w:val="24"/>
          <w:szCs w:val="24"/>
          <w:highlight w:val="none"/>
        </w:rPr>
      </w:pPr>
    </w:p>
    <w:p>
      <w:pPr>
        <w:snapToGrid w:val="0"/>
        <w:spacing w:line="360" w:lineRule="auto"/>
        <w:ind w:firstLine="480" w:firstLineChars="200"/>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r>
        <w:rPr>
          <w:rFonts w:hint="eastAsia" w:ascii="宋体" w:hAnsi="宋体" w:eastAsia="宋体" w:cs="宋体"/>
          <w:color w:val="auto"/>
          <w:kern w:val="0"/>
          <w:sz w:val="24"/>
          <w:szCs w:val="24"/>
          <w:highlight w:val="none"/>
          <w:lang w:val="en-US" w:eastAsia="zh-CN"/>
        </w:rPr>
        <w:t>23</w:t>
      </w:r>
      <w:r>
        <w:rPr>
          <w:rFonts w:hint="eastAsia" w:ascii="宋体" w:hAnsi="宋体" w:eastAsia="宋体" w:cs="宋体"/>
          <w:color w:val="auto"/>
          <w:kern w:val="0"/>
          <w:sz w:val="24"/>
          <w:szCs w:val="24"/>
          <w:highlight w:val="none"/>
        </w:rPr>
        <w:t>年</w:t>
      </w:r>
      <w:r>
        <w:rPr>
          <w:rFonts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6</w:t>
      </w:r>
      <w:r>
        <w:rPr>
          <w:rFonts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月</w:t>
      </w:r>
      <w:r>
        <w:rPr>
          <w:rFonts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21</w:t>
      </w:r>
      <w:r>
        <w:rPr>
          <w:rFonts w:hint="eastAsia" w:ascii="宋体" w:hAnsi="宋体" w:eastAsia="宋体" w:cs="宋体"/>
          <w:color w:val="auto"/>
          <w:kern w:val="0"/>
          <w:sz w:val="24"/>
          <w:szCs w:val="24"/>
          <w:highlight w:val="none"/>
        </w:rPr>
        <w:t>日</w:t>
      </w:r>
    </w:p>
    <w:p>
      <w:pPr>
        <w:snapToGrid w:val="0"/>
        <w:spacing w:line="500" w:lineRule="exact"/>
        <w:jc w:val="center"/>
        <w:rPr>
          <w:rFonts w:ascii="宋体" w:hAnsi="宋体" w:eastAsia="宋体" w:cs="Times New Roman"/>
          <w:b/>
          <w:color w:val="auto"/>
          <w:sz w:val="32"/>
          <w:szCs w:val="32"/>
          <w:highlight w:val="none"/>
        </w:rPr>
      </w:pPr>
    </w:p>
    <w:p>
      <w:pPr>
        <w:snapToGrid w:val="0"/>
        <w:spacing w:line="500" w:lineRule="exact"/>
        <w:jc w:val="center"/>
        <w:rPr>
          <w:rFonts w:ascii="宋体" w:hAnsi="宋体" w:eastAsia="宋体" w:cs="Times New Roman"/>
          <w:b/>
          <w:color w:val="auto"/>
          <w:sz w:val="32"/>
          <w:szCs w:val="32"/>
          <w:highlight w:val="none"/>
        </w:rPr>
      </w:pPr>
    </w:p>
    <w:p>
      <w:pPr>
        <w:snapToGrid w:val="0"/>
        <w:spacing w:line="500" w:lineRule="exact"/>
        <w:jc w:val="center"/>
        <w:rPr>
          <w:rFonts w:ascii="宋体" w:hAnsi="宋体" w:eastAsia="宋体" w:cs="Times New Roman"/>
          <w:b/>
          <w:color w:val="auto"/>
          <w:sz w:val="32"/>
          <w:szCs w:val="32"/>
          <w:highlight w:val="none"/>
        </w:rPr>
      </w:pPr>
    </w:p>
    <w:p>
      <w:pPr>
        <w:snapToGrid w:val="0"/>
        <w:spacing w:line="500" w:lineRule="exact"/>
        <w:jc w:val="center"/>
        <w:rPr>
          <w:rFonts w:ascii="宋体" w:hAnsi="宋体" w:eastAsia="宋体" w:cs="Times New Roman"/>
          <w:b/>
          <w:color w:val="auto"/>
          <w:sz w:val="32"/>
          <w:szCs w:val="32"/>
          <w:highlight w:val="none"/>
        </w:rPr>
      </w:pPr>
    </w:p>
    <w:p>
      <w:pPr>
        <w:snapToGrid w:val="0"/>
        <w:spacing w:line="500" w:lineRule="exact"/>
        <w:jc w:val="center"/>
        <w:rPr>
          <w:rFonts w:ascii="宋体" w:hAnsi="宋体" w:eastAsia="宋体" w:cs="Times New Roman"/>
          <w:b/>
          <w:color w:val="auto"/>
          <w:sz w:val="32"/>
          <w:szCs w:val="32"/>
          <w:highlight w:val="none"/>
        </w:rPr>
      </w:pPr>
    </w:p>
    <w:p>
      <w:pPr>
        <w:snapToGrid w:val="0"/>
        <w:spacing w:line="500" w:lineRule="exact"/>
        <w:jc w:val="center"/>
        <w:rPr>
          <w:rFonts w:ascii="宋体" w:hAnsi="宋体" w:eastAsia="宋体" w:cs="Times New Roman"/>
          <w:b/>
          <w:color w:val="auto"/>
          <w:sz w:val="32"/>
          <w:szCs w:val="32"/>
          <w:highlight w:val="none"/>
        </w:rPr>
      </w:pPr>
    </w:p>
    <w:p>
      <w:pPr>
        <w:snapToGrid w:val="0"/>
        <w:spacing w:line="500" w:lineRule="exact"/>
        <w:jc w:val="center"/>
        <w:rPr>
          <w:rFonts w:ascii="宋体" w:hAnsi="宋体" w:eastAsia="宋体" w:cs="Times New Roman"/>
          <w:b/>
          <w:color w:val="auto"/>
          <w:sz w:val="32"/>
          <w:szCs w:val="32"/>
          <w:highlight w:val="none"/>
        </w:rPr>
      </w:pPr>
    </w:p>
    <w:p>
      <w:pPr>
        <w:snapToGrid w:val="0"/>
        <w:spacing w:line="500" w:lineRule="exact"/>
        <w:jc w:val="center"/>
        <w:rPr>
          <w:rFonts w:ascii="宋体" w:hAnsi="宋体" w:eastAsia="宋体" w:cs="Times New Roman"/>
          <w:b/>
          <w:color w:val="auto"/>
          <w:sz w:val="32"/>
          <w:szCs w:val="32"/>
          <w:highlight w:val="none"/>
        </w:rPr>
      </w:pPr>
    </w:p>
    <w:p>
      <w:pPr>
        <w:snapToGrid w:val="0"/>
        <w:spacing w:line="500" w:lineRule="exact"/>
        <w:jc w:val="center"/>
        <w:rPr>
          <w:rFonts w:ascii="宋体" w:hAnsi="宋体" w:eastAsia="宋体" w:cs="Times New Roman"/>
          <w:b/>
          <w:color w:val="auto"/>
          <w:sz w:val="32"/>
          <w:szCs w:val="32"/>
          <w:highlight w:val="none"/>
        </w:rPr>
      </w:pPr>
    </w:p>
    <w:p>
      <w:pPr>
        <w:snapToGrid w:val="0"/>
        <w:spacing w:line="500" w:lineRule="exact"/>
        <w:jc w:val="center"/>
        <w:rPr>
          <w:rFonts w:ascii="宋体" w:hAnsi="宋体" w:eastAsia="宋体" w:cs="Times New Roman"/>
          <w:b/>
          <w:color w:val="auto"/>
          <w:sz w:val="32"/>
          <w:szCs w:val="32"/>
          <w:highlight w:val="none"/>
        </w:rPr>
      </w:pPr>
    </w:p>
    <w:p>
      <w:pPr>
        <w:snapToGrid w:val="0"/>
        <w:spacing w:line="500" w:lineRule="exact"/>
        <w:jc w:val="center"/>
        <w:rPr>
          <w:rFonts w:ascii="宋体" w:hAnsi="宋体" w:eastAsia="宋体" w:cs="Times New Roman"/>
          <w:b/>
          <w:color w:val="auto"/>
          <w:sz w:val="32"/>
          <w:szCs w:val="32"/>
          <w:highlight w:val="none"/>
        </w:rPr>
      </w:pPr>
    </w:p>
    <w:p>
      <w:pPr>
        <w:snapToGrid w:val="0"/>
        <w:spacing w:line="500" w:lineRule="exact"/>
        <w:jc w:val="center"/>
        <w:rPr>
          <w:rFonts w:ascii="宋体" w:hAnsi="宋体" w:eastAsia="宋体" w:cs="Times New Roman"/>
          <w:b/>
          <w:color w:val="auto"/>
          <w:sz w:val="32"/>
          <w:szCs w:val="32"/>
          <w:highlight w:val="none"/>
        </w:rPr>
      </w:pPr>
    </w:p>
    <w:p>
      <w:pPr>
        <w:snapToGrid w:val="0"/>
        <w:spacing w:line="500" w:lineRule="exact"/>
        <w:jc w:val="center"/>
        <w:rPr>
          <w:rFonts w:ascii="宋体" w:hAnsi="宋体" w:eastAsia="宋体" w:cs="Times New Roman"/>
          <w:b/>
          <w:color w:val="auto"/>
          <w:sz w:val="32"/>
          <w:szCs w:val="32"/>
          <w:highlight w:val="none"/>
        </w:rPr>
      </w:pPr>
    </w:p>
    <w:p>
      <w:pPr>
        <w:snapToGrid w:val="0"/>
        <w:spacing w:line="500" w:lineRule="exact"/>
        <w:jc w:val="center"/>
        <w:rPr>
          <w:rFonts w:ascii="宋体" w:hAnsi="宋体" w:eastAsia="宋体" w:cs="Times New Roman"/>
          <w:b/>
          <w:color w:val="auto"/>
          <w:sz w:val="32"/>
          <w:szCs w:val="32"/>
          <w:highlight w:val="none"/>
        </w:rPr>
      </w:pPr>
    </w:p>
    <w:p>
      <w:pPr>
        <w:snapToGrid w:val="0"/>
        <w:spacing w:line="500" w:lineRule="exact"/>
        <w:jc w:val="center"/>
        <w:rPr>
          <w:rFonts w:ascii="宋体" w:hAnsi="宋体" w:eastAsia="宋体" w:cs="Times New Roman"/>
          <w:b/>
          <w:color w:val="auto"/>
          <w:sz w:val="32"/>
          <w:szCs w:val="32"/>
          <w:highlight w:val="none"/>
        </w:rPr>
      </w:pPr>
    </w:p>
    <w:p>
      <w:pPr>
        <w:snapToGrid w:val="0"/>
        <w:spacing w:line="500" w:lineRule="exact"/>
        <w:jc w:val="center"/>
        <w:rPr>
          <w:rFonts w:ascii="宋体" w:hAnsi="宋体" w:eastAsia="宋体" w:cs="Times New Roman"/>
          <w:b/>
          <w:color w:val="auto"/>
          <w:sz w:val="32"/>
          <w:szCs w:val="32"/>
          <w:highlight w:val="none"/>
        </w:rPr>
      </w:pPr>
    </w:p>
    <w:p>
      <w:pPr>
        <w:snapToGrid w:val="0"/>
        <w:spacing w:line="500" w:lineRule="exact"/>
        <w:jc w:val="center"/>
        <w:rPr>
          <w:rFonts w:ascii="宋体" w:hAnsi="宋体" w:eastAsia="宋体" w:cs="Times New Roman"/>
          <w:b/>
          <w:color w:val="auto"/>
          <w:sz w:val="32"/>
          <w:szCs w:val="32"/>
          <w:highlight w:val="none"/>
        </w:rPr>
      </w:pPr>
    </w:p>
    <w:p>
      <w:pPr>
        <w:snapToGrid w:val="0"/>
        <w:spacing w:line="500" w:lineRule="exact"/>
        <w:jc w:val="center"/>
        <w:rPr>
          <w:rFonts w:ascii="宋体" w:hAnsi="宋体" w:eastAsia="宋体" w:cs="Times New Roman"/>
          <w:b/>
          <w:color w:val="auto"/>
          <w:sz w:val="32"/>
          <w:szCs w:val="32"/>
          <w:highlight w:val="none"/>
        </w:rPr>
      </w:pPr>
    </w:p>
    <w:p>
      <w:pPr>
        <w:snapToGrid w:val="0"/>
        <w:spacing w:line="500" w:lineRule="exact"/>
        <w:jc w:val="center"/>
        <w:rPr>
          <w:rFonts w:ascii="宋体" w:hAnsi="宋体" w:eastAsia="宋体" w:cs="Times New Roman"/>
          <w:b/>
          <w:color w:val="auto"/>
          <w:sz w:val="32"/>
          <w:szCs w:val="32"/>
          <w:highlight w:val="none"/>
        </w:rPr>
      </w:pPr>
    </w:p>
    <w:p>
      <w:pPr>
        <w:snapToGrid w:val="0"/>
        <w:spacing w:line="500" w:lineRule="exact"/>
        <w:jc w:val="center"/>
        <w:rPr>
          <w:rFonts w:ascii="宋体" w:hAnsi="宋体" w:eastAsia="宋体" w:cs="Times New Roman"/>
          <w:b/>
          <w:color w:val="auto"/>
          <w:sz w:val="32"/>
          <w:szCs w:val="32"/>
          <w:highlight w:val="none"/>
        </w:rPr>
      </w:pPr>
    </w:p>
    <w:p>
      <w:pPr>
        <w:snapToGrid w:val="0"/>
        <w:spacing w:line="500" w:lineRule="exact"/>
        <w:jc w:val="center"/>
        <w:rPr>
          <w:rFonts w:ascii="宋体" w:hAnsi="宋体" w:eastAsia="宋体" w:cs="Times New Roman"/>
          <w:b/>
          <w:color w:val="auto"/>
          <w:sz w:val="32"/>
          <w:szCs w:val="32"/>
          <w:highlight w:val="none"/>
        </w:rPr>
      </w:pPr>
    </w:p>
    <w:p>
      <w:pPr>
        <w:snapToGrid w:val="0"/>
        <w:spacing w:line="500" w:lineRule="exact"/>
        <w:jc w:val="center"/>
        <w:rPr>
          <w:rFonts w:ascii="宋体" w:hAnsi="宋体" w:eastAsia="宋体" w:cs="Times New Roman"/>
          <w:b/>
          <w:color w:val="auto"/>
          <w:sz w:val="32"/>
          <w:szCs w:val="32"/>
          <w:highlight w:val="none"/>
        </w:rPr>
      </w:pPr>
    </w:p>
    <w:p>
      <w:pPr>
        <w:snapToGrid w:val="0"/>
        <w:spacing w:line="500" w:lineRule="exact"/>
        <w:jc w:val="both"/>
        <w:rPr>
          <w:rFonts w:ascii="宋体" w:hAnsi="宋体" w:eastAsia="宋体" w:cs="Times New Roman"/>
          <w:b/>
          <w:color w:val="auto"/>
          <w:sz w:val="32"/>
          <w:szCs w:val="32"/>
          <w:highlight w:val="none"/>
        </w:rPr>
      </w:pPr>
    </w:p>
    <w:p>
      <w:pPr>
        <w:snapToGrid w:val="0"/>
        <w:spacing w:line="500" w:lineRule="exact"/>
        <w:jc w:val="center"/>
        <w:rPr>
          <w:rFonts w:ascii="宋体" w:hAnsi="宋体" w:eastAsia="宋体" w:cs="Times New Roman"/>
          <w:b/>
          <w:color w:val="auto"/>
          <w:sz w:val="32"/>
          <w:szCs w:val="32"/>
          <w:highlight w:val="none"/>
        </w:rPr>
      </w:pPr>
      <w:r>
        <w:rPr>
          <w:rFonts w:ascii="宋体" w:hAnsi="宋体" w:eastAsia="宋体" w:cs="Times New Roman"/>
          <w:b/>
          <w:color w:val="auto"/>
          <w:sz w:val="32"/>
          <w:szCs w:val="32"/>
          <w:highlight w:val="none"/>
        </w:rPr>
        <w:t>申请须知</w:t>
      </w:r>
    </w:p>
    <w:p>
      <w:pPr>
        <w:snapToGrid w:val="0"/>
        <w:spacing w:line="300" w:lineRule="auto"/>
        <w:ind w:firstLine="482" w:firstLineChars="200"/>
        <w:outlineLvl w:val="0"/>
        <w:rPr>
          <w:rFonts w:ascii="宋体" w:hAnsi="宋体" w:eastAsia="宋体" w:cs="Times New Roman"/>
          <w:b/>
          <w:color w:val="auto"/>
          <w:sz w:val="24"/>
          <w:szCs w:val="24"/>
          <w:highlight w:val="none"/>
        </w:rPr>
      </w:pPr>
    </w:p>
    <w:p>
      <w:pPr>
        <w:snapToGrid w:val="0"/>
        <w:spacing w:line="300" w:lineRule="auto"/>
        <w:ind w:firstLine="482" w:firstLineChars="200"/>
        <w:outlineLvl w:val="0"/>
        <w:rPr>
          <w:rFonts w:ascii="宋体" w:hAnsi="宋体" w:eastAsia="宋体" w:cs="仿宋"/>
          <w:color w:val="auto"/>
          <w:sz w:val="24"/>
          <w:szCs w:val="24"/>
          <w:highlight w:val="none"/>
        </w:rPr>
      </w:pPr>
      <w:r>
        <w:rPr>
          <w:rFonts w:hint="eastAsia" w:ascii="宋体" w:hAnsi="宋体" w:eastAsia="宋体" w:cs="仿宋"/>
          <w:b/>
          <w:color w:val="auto"/>
          <w:sz w:val="24"/>
          <w:szCs w:val="24"/>
          <w:highlight w:val="none"/>
        </w:rPr>
        <w:t>一、征集文件由征集人解释</w:t>
      </w:r>
    </w:p>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申请人应认真审阅征集文件中所有的事项、格式、条款和规范要求等，如果申请人没有按照征集文件要求提交比选文件，或者申请文件没有对征集文件做出实质性响应，其申请文件将被拒绝，申请人自行承担责任。</w:t>
      </w:r>
    </w:p>
    <w:p>
      <w:pPr>
        <w:snapToGrid w:val="0"/>
        <w:spacing w:line="300" w:lineRule="auto"/>
        <w:ind w:firstLine="482" w:firstLineChars="200"/>
        <w:rPr>
          <w:rFonts w:ascii="宋体" w:hAnsi="宋体" w:eastAsia="宋体" w:cs="仿宋"/>
          <w:b/>
          <w:color w:val="auto"/>
          <w:sz w:val="24"/>
          <w:szCs w:val="24"/>
          <w:highlight w:val="none"/>
        </w:rPr>
      </w:pPr>
      <w:r>
        <w:rPr>
          <w:rFonts w:hint="eastAsia" w:ascii="宋体" w:hAnsi="宋体" w:eastAsia="宋体" w:cs="仿宋"/>
          <w:b/>
          <w:color w:val="auto"/>
          <w:sz w:val="24"/>
          <w:szCs w:val="24"/>
          <w:highlight w:val="none"/>
        </w:rPr>
        <w:t>二、征集文件的澄清、修改、答疑</w:t>
      </w:r>
    </w:p>
    <w:p>
      <w:pPr>
        <w:snapToGrid w:val="0"/>
        <w:spacing w:line="300" w:lineRule="auto"/>
        <w:ind w:firstLine="480" w:firstLineChars="200"/>
        <w:rPr>
          <w:rFonts w:ascii="宋体" w:hAnsi="宋体" w:eastAsia="宋体" w:cs="仿宋"/>
          <w:color w:val="auto"/>
          <w:kern w:val="0"/>
          <w:sz w:val="24"/>
          <w:szCs w:val="24"/>
          <w:highlight w:val="none"/>
          <w:lang w:val="zh-CN"/>
        </w:rPr>
      </w:pPr>
      <w:r>
        <w:rPr>
          <w:rFonts w:hint="eastAsia" w:ascii="宋体" w:hAnsi="宋体" w:eastAsia="宋体" w:cs="仿宋"/>
          <w:color w:val="auto"/>
          <w:kern w:val="0"/>
          <w:sz w:val="24"/>
          <w:szCs w:val="24"/>
          <w:highlight w:val="none"/>
          <w:lang w:val="zh-CN"/>
        </w:rPr>
        <w:t>1、征集人有权对发出的征集文件进行必要的澄清或修改。</w:t>
      </w:r>
    </w:p>
    <w:p>
      <w:pPr>
        <w:snapToGrid w:val="0"/>
        <w:spacing w:line="300" w:lineRule="auto"/>
        <w:ind w:firstLine="480" w:firstLineChars="200"/>
        <w:rPr>
          <w:rFonts w:ascii="宋体" w:hAnsi="宋体" w:eastAsia="宋体" w:cs="仿宋"/>
          <w:color w:val="auto"/>
          <w:kern w:val="0"/>
          <w:sz w:val="24"/>
          <w:szCs w:val="24"/>
          <w:highlight w:val="none"/>
          <w:lang w:val="zh-CN"/>
        </w:rPr>
      </w:pPr>
      <w:r>
        <w:rPr>
          <w:rFonts w:hint="eastAsia" w:ascii="宋体" w:hAnsi="宋体" w:eastAsia="宋体" w:cs="仿宋"/>
          <w:color w:val="auto"/>
          <w:kern w:val="0"/>
          <w:sz w:val="24"/>
          <w:szCs w:val="24"/>
          <w:highlight w:val="none"/>
          <w:lang w:val="zh-CN"/>
        </w:rPr>
        <w:t>2、征集人可视情取消、延长相关时间。</w:t>
      </w:r>
    </w:p>
    <w:p>
      <w:pPr>
        <w:snapToGrid w:val="0"/>
        <w:spacing w:line="300" w:lineRule="auto"/>
        <w:ind w:firstLine="480" w:firstLineChars="200"/>
        <w:rPr>
          <w:rFonts w:ascii="宋体" w:hAnsi="宋体" w:eastAsia="宋体" w:cs="仿宋"/>
          <w:color w:val="auto"/>
          <w:kern w:val="0"/>
          <w:sz w:val="24"/>
          <w:szCs w:val="24"/>
          <w:highlight w:val="none"/>
          <w:lang w:val="zh-CN"/>
        </w:rPr>
      </w:pPr>
      <w:r>
        <w:rPr>
          <w:rFonts w:hint="eastAsia" w:ascii="宋体" w:hAnsi="宋体" w:eastAsia="宋体" w:cs="仿宋"/>
          <w:color w:val="auto"/>
          <w:kern w:val="0"/>
          <w:sz w:val="24"/>
          <w:szCs w:val="24"/>
          <w:highlight w:val="none"/>
          <w:lang w:val="zh-CN"/>
        </w:rPr>
        <w:t>3、征集人对征集文件的澄清、修改将构成征集文件的一部分，对申请人具有约束力。</w:t>
      </w:r>
    </w:p>
    <w:p>
      <w:pPr>
        <w:snapToGrid w:val="0"/>
        <w:spacing w:line="300" w:lineRule="auto"/>
        <w:ind w:firstLine="480" w:firstLineChars="200"/>
        <w:rPr>
          <w:rFonts w:ascii="宋体" w:hAnsi="宋体" w:eastAsia="宋体" w:cs="仿宋"/>
          <w:color w:val="auto"/>
          <w:kern w:val="0"/>
          <w:sz w:val="24"/>
          <w:szCs w:val="24"/>
          <w:highlight w:val="none"/>
          <w:lang w:val="zh-CN"/>
        </w:rPr>
      </w:pPr>
      <w:r>
        <w:rPr>
          <w:rFonts w:hint="eastAsia" w:ascii="宋体" w:hAnsi="宋体" w:eastAsia="宋体" w:cs="仿宋"/>
          <w:color w:val="auto"/>
          <w:kern w:val="0"/>
          <w:sz w:val="24"/>
          <w:szCs w:val="24"/>
          <w:highlight w:val="none"/>
          <w:lang w:val="zh-CN"/>
        </w:rPr>
        <w:t>4、申请人由于对征集文件的任何推论和误解以及征集人对有关问题的口头解释所造成的后果，均由申请人自负。</w:t>
      </w:r>
    </w:p>
    <w:p>
      <w:pPr>
        <w:snapToGrid w:val="0"/>
        <w:spacing w:line="300" w:lineRule="auto"/>
        <w:ind w:firstLine="480" w:firstLineChars="200"/>
        <w:contextualSpacing/>
        <w:rPr>
          <w:rFonts w:hint="eastAsia" w:ascii="宋体" w:hAnsi="宋体" w:eastAsia="宋体" w:cs="仿宋"/>
          <w:color w:val="auto"/>
          <w:kern w:val="0"/>
          <w:sz w:val="24"/>
          <w:szCs w:val="24"/>
          <w:highlight w:val="none"/>
          <w:lang w:val="zh-CN"/>
        </w:rPr>
      </w:pPr>
      <w:r>
        <w:rPr>
          <w:rFonts w:hint="eastAsia" w:ascii="宋体" w:hAnsi="宋体" w:eastAsia="宋体" w:cs="仿宋"/>
          <w:color w:val="auto"/>
          <w:kern w:val="0"/>
          <w:sz w:val="24"/>
          <w:szCs w:val="24"/>
          <w:highlight w:val="none"/>
          <w:lang w:val="zh-CN"/>
        </w:rPr>
        <w:t>5、征集人不组织答疑会。</w:t>
      </w:r>
    </w:p>
    <w:p>
      <w:pPr>
        <w:snapToGrid w:val="0"/>
        <w:spacing w:line="50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、应征方下载征集文件后，应仔细检查征集文件的所有内容，如有内容或页码短缺、资格要求和技术参数含有倾向性或排他性等表述的，</w:t>
      </w:r>
      <w:r>
        <w:rPr>
          <w:rFonts w:hint="eastAsia" w:ascii="宋体" w:hAnsi="宋体" w:eastAsia="宋体" w:cs="宋体"/>
          <w:bCs/>
          <w:color w:val="000000"/>
          <w:sz w:val="24"/>
          <w:szCs w:val="24"/>
        </w:rPr>
        <w:t>应在征集文件发布后5日内以书面形式提出询问或疑问</w:t>
      </w:r>
      <w:r>
        <w:rPr>
          <w:rFonts w:hint="eastAsia" w:ascii="宋体" w:hAnsi="宋体" w:eastAsia="宋体" w:cs="宋体"/>
          <w:color w:val="000000"/>
          <w:sz w:val="24"/>
          <w:szCs w:val="24"/>
        </w:rPr>
        <w:t>，未在规定的5日内提出询问或疑问的</w:t>
      </w:r>
      <w:r>
        <w:rPr>
          <w:rFonts w:hint="eastAsia" w:ascii="宋体" w:hAnsi="宋体" w:eastAsia="宋体" w:cs="宋体"/>
          <w:b/>
          <w:sz w:val="24"/>
          <w:szCs w:val="24"/>
        </w:rPr>
        <w:t>，</w:t>
      </w:r>
      <w:r>
        <w:rPr>
          <w:rFonts w:hint="eastAsia" w:ascii="宋体" w:hAnsi="宋体" w:eastAsia="宋体" w:cs="宋体"/>
          <w:sz w:val="24"/>
          <w:szCs w:val="24"/>
        </w:rPr>
        <w:t>视同应征方理解并接受本征集文件所有内容，并由此引起的损失自负。应征方不得在征集结束后针对征集文件所有内容提出质疑事项。</w:t>
      </w:r>
      <w:r>
        <w:rPr>
          <w:rFonts w:hint="eastAsia" w:ascii="宋体" w:hAnsi="宋体" w:eastAsia="宋体" w:cs="宋体"/>
          <w:b/>
          <w:bCs/>
          <w:sz w:val="24"/>
          <w:szCs w:val="24"/>
        </w:rPr>
        <w:t>非书面形式的不作为日后质疑提出的依据。</w:t>
      </w:r>
    </w:p>
    <w:p>
      <w:pPr>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补充说明、澄清或修改的内容可能影响到响应文件编制的，</w:t>
      </w:r>
      <w:r>
        <w:rPr>
          <w:rFonts w:hint="eastAsia" w:ascii="宋体" w:hAnsi="宋体" w:eastAsia="宋体" w:cs="宋体"/>
          <w:color w:val="000000"/>
          <w:sz w:val="24"/>
          <w:szCs w:val="24"/>
          <w:lang w:val="en-US" w:eastAsia="zh-CN"/>
        </w:rPr>
        <w:t>征集人</w:t>
      </w:r>
      <w:r>
        <w:rPr>
          <w:rFonts w:hint="eastAsia" w:ascii="宋体" w:hAnsi="宋体" w:eastAsia="宋体" w:cs="宋体"/>
          <w:color w:val="000000"/>
          <w:sz w:val="24"/>
          <w:szCs w:val="24"/>
        </w:rPr>
        <w:t>将在提交首次响应文件截止之日3日前，发布补充说明、澄清或修改公告，不足3日的，应当顺延提交首次响应文件截止之日。</w:t>
      </w:r>
    </w:p>
    <w:p>
      <w:pPr>
        <w:pStyle w:val="2"/>
        <w:rPr>
          <w:lang w:val="zh-CN"/>
        </w:rPr>
      </w:pPr>
    </w:p>
    <w:p>
      <w:pPr>
        <w:snapToGrid w:val="0"/>
        <w:spacing w:line="300" w:lineRule="auto"/>
        <w:ind w:firstLine="482" w:firstLineChars="200"/>
        <w:contextualSpacing/>
        <w:rPr>
          <w:rFonts w:ascii="宋体" w:hAnsi="宋体" w:eastAsia="宋体" w:cs="仿宋"/>
          <w:b/>
          <w:color w:val="auto"/>
          <w:sz w:val="24"/>
          <w:szCs w:val="24"/>
          <w:highlight w:val="none"/>
        </w:rPr>
      </w:pPr>
      <w:r>
        <w:rPr>
          <w:rFonts w:hint="eastAsia" w:ascii="宋体" w:hAnsi="宋体" w:eastAsia="宋体" w:cs="仿宋"/>
          <w:b/>
          <w:color w:val="auto"/>
          <w:sz w:val="24"/>
          <w:szCs w:val="24"/>
          <w:highlight w:val="none"/>
        </w:rPr>
        <w:t>三、比选报价</w:t>
      </w:r>
    </w:p>
    <w:p>
      <w:pPr>
        <w:snapToGrid w:val="0"/>
        <w:spacing w:line="300" w:lineRule="auto"/>
        <w:ind w:firstLine="480" w:firstLineChars="200"/>
        <w:contextualSpacing/>
        <w:rPr>
          <w:rFonts w:ascii="宋体" w:hAnsi="宋体" w:eastAsia="宋体" w:cs="仿宋"/>
          <w:b/>
          <w:color w:val="auto"/>
          <w:kern w:val="0"/>
          <w:sz w:val="24"/>
          <w:szCs w:val="24"/>
          <w:highlight w:val="none"/>
          <w:lang w:val="zh-CN"/>
        </w:rPr>
      </w:pPr>
      <w:r>
        <w:rPr>
          <w:rFonts w:hint="eastAsia" w:ascii="宋体" w:hAnsi="宋体" w:eastAsia="宋体" w:cs="仿宋"/>
          <w:color w:val="auto"/>
          <w:kern w:val="0"/>
          <w:sz w:val="24"/>
          <w:szCs w:val="24"/>
          <w:highlight w:val="none"/>
          <w:lang w:val="zh-CN"/>
        </w:rPr>
        <w:t>本标包只允许一个报价，不接受任何有选择性的报价。</w:t>
      </w:r>
    </w:p>
    <w:p>
      <w:pPr>
        <w:widowControl/>
        <w:tabs>
          <w:tab w:val="left" w:pos="540"/>
        </w:tabs>
        <w:snapToGrid w:val="0"/>
        <w:spacing w:line="300" w:lineRule="auto"/>
        <w:ind w:left="540"/>
        <w:contextualSpacing/>
        <w:jc w:val="left"/>
        <w:rPr>
          <w:rFonts w:ascii="宋体" w:hAnsi="宋体" w:eastAsia="宋体" w:cs="仿宋"/>
          <w:color w:val="auto"/>
          <w:kern w:val="0"/>
          <w:sz w:val="24"/>
          <w:szCs w:val="24"/>
          <w:highlight w:val="none"/>
          <w:lang w:val="zh-CN"/>
        </w:rPr>
      </w:pPr>
      <w:r>
        <w:rPr>
          <w:rFonts w:hint="eastAsia" w:ascii="宋体" w:hAnsi="宋体" w:eastAsia="宋体" w:cs="仿宋"/>
          <w:b/>
          <w:color w:val="auto"/>
          <w:kern w:val="0"/>
          <w:sz w:val="24"/>
          <w:szCs w:val="24"/>
          <w:highlight w:val="none"/>
          <w:lang w:val="zh-CN"/>
        </w:rPr>
        <w:t>四、申请文件的编写、份数和签署</w:t>
      </w:r>
    </w:p>
    <w:p>
      <w:pPr>
        <w:snapToGrid w:val="0"/>
        <w:spacing w:line="300" w:lineRule="auto"/>
        <w:ind w:firstLine="480" w:firstLineChars="200"/>
        <w:contextualSpacing/>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1、申请人按要求编写申请文件。</w:t>
      </w:r>
      <w:r>
        <w:rPr>
          <w:rFonts w:hint="eastAsia" w:ascii="宋体" w:hAnsi="宋体" w:eastAsia="宋体" w:cs="仿宋"/>
          <w:color w:val="auto"/>
          <w:kern w:val="0"/>
          <w:sz w:val="24"/>
          <w:szCs w:val="24"/>
          <w:highlight w:val="none"/>
          <w:lang w:val="zh-CN"/>
        </w:rPr>
        <w:t>申请文件规格幅面</w:t>
      </w:r>
      <w:r>
        <w:rPr>
          <w:rFonts w:hint="eastAsia" w:ascii="宋体" w:hAnsi="宋体" w:eastAsia="宋体" w:cs="仿宋"/>
          <w:color w:val="auto"/>
          <w:sz w:val="24"/>
          <w:szCs w:val="24"/>
          <w:highlight w:val="none"/>
        </w:rPr>
        <w:t>A4纸（图纸等除外）；</w:t>
      </w:r>
      <w:r>
        <w:rPr>
          <w:rFonts w:hint="eastAsia" w:ascii="宋体" w:hAnsi="宋体" w:eastAsia="宋体" w:cs="仿宋"/>
          <w:color w:val="auto"/>
          <w:kern w:val="0"/>
          <w:sz w:val="24"/>
          <w:szCs w:val="24"/>
          <w:highlight w:val="none"/>
          <w:lang w:val="zh-CN"/>
        </w:rPr>
        <w:t>按照征集文件所规定的内容顺序，统一编制目录，逐页编码，由于编排混乱导致申请文件被误读或查找不到，其责任应当由申请人承担；</w:t>
      </w:r>
      <w:r>
        <w:rPr>
          <w:rFonts w:hint="eastAsia" w:ascii="宋体" w:hAnsi="宋体" w:eastAsia="宋体" w:cs="仿宋"/>
          <w:color w:val="auto"/>
          <w:sz w:val="24"/>
          <w:szCs w:val="24"/>
          <w:highlight w:val="none"/>
        </w:rPr>
        <w:t>牢固装订成册，不允许使用活页夹、拉杆夹、文件夹、塑料方便式书脊（插入式或穿孔式）装订；申请文件不得行间插字、涂改、增删，如修补错漏处，须经申请文件签署人签字并加盖公章。</w:t>
      </w:r>
    </w:p>
    <w:p>
      <w:pPr>
        <w:snapToGrid w:val="0"/>
        <w:spacing w:line="300" w:lineRule="auto"/>
        <w:ind w:firstLine="480" w:firstLineChars="200"/>
        <w:contextualSpacing/>
        <w:rPr>
          <w:rFonts w:ascii="宋体" w:hAnsi="宋体" w:eastAsia="宋体" w:cs="仿宋"/>
          <w:color w:val="auto"/>
          <w:sz w:val="24"/>
          <w:szCs w:val="24"/>
          <w:highlight w:val="none"/>
          <w:lang w:val="zh-CN"/>
        </w:rPr>
      </w:pPr>
      <w:r>
        <w:rPr>
          <w:rFonts w:hint="eastAsia" w:ascii="宋体" w:hAnsi="宋体" w:eastAsia="宋体" w:cs="仿宋"/>
          <w:color w:val="auto"/>
          <w:sz w:val="24"/>
          <w:szCs w:val="24"/>
          <w:highlight w:val="none"/>
        </w:rPr>
        <w:t>2、申请文件</w:t>
      </w:r>
      <w:r>
        <w:rPr>
          <w:rFonts w:hint="eastAsia" w:ascii="宋体" w:hAnsi="宋体" w:eastAsia="宋体" w:cs="仿宋"/>
          <w:b/>
          <w:color w:val="auto"/>
          <w:sz w:val="24"/>
          <w:szCs w:val="24"/>
          <w:highlight w:val="none"/>
          <w:lang w:val="zh-CN"/>
        </w:rPr>
        <w:t>由</w:t>
      </w:r>
      <w:r>
        <w:rPr>
          <w:rFonts w:hint="eastAsia" w:ascii="宋体" w:hAnsi="宋体" w:eastAsia="宋体" w:cs="仿宋"/>
          <w:b/>
          <w:color w:val="auto"/>
          <w:sz w:val="24"/>
          <w:szCs w:val="24"/>
          <w:highlight w:val="none"/>
          <w:u w:val="single"/>
          <w:lang w:val="zh-CN"/>
        </w:rPr>
        <w:t>资格审查材料、商务标</w:t>
      </w:r>
      <w:r>
        <w:rPr>
          <w:rFonts w:hint="eastAsia" w:ascii="宋体" w:hAnsi="宋体" w:eastAsia="宋体" w:cs="仿宋"/>
          <w:b/>
          <w:color w:val="auto"/>
          <w:sz w:val="24"/>
          <w:szCs w:val="24"/>
          <w:highlight w:val="none"/>
          <w:lang w:val="en-US" w:eastAsia="zh-CN"/>
        </w:rPr>
        <w:t>两</w:t>
      </w:r>
      <w:r>
        <w:rPr>
          <w:rFonts w:hint="eastAsia" w:ascii="宋体" w:hAnsi="宋体" w:eastAsia="宋体" w:cs="仿宋"/>
          <w:b/>
          <w:color w:val="auto"/>
          <w:sz w:val="24"/>
          <w:szCs w:val="24"/>
          <w:highlight w:val="none"/>
          <w:lang w:val="zh-CN"/>
        </w:rPr>
        <w:t>部分组成。</w:t>
      </w:r>
      <w:r>
        <w:rPr>
          <w:rFonts w:hint="eastAsia" w:ascii="宋体" w:hAnsi="宋体" w:eastAsia="宋体" w:cs="仿宋"/>
          <w:color w:val="auto"/>
          <w:sz w:val="24"/>
          <w:szCs w:val="24"/>
          <w:highlight w:val="none"/>
        </w:rPr>
        <w:t>具体内容如下：</w:t>
      </w:r>
    </w:p>
    <w:p>
      <w:pPr>
        <w:snapToGrid w:val="0"/>
        <w:spacing w:line="300" w:lineRule="auto"/>
        <w:ind w:firstLine="482" w:firstLineChars="200"/>
        <w:contextualSpacing/>
        <w:rPr>
          <w:rFonts w:ascii="宋体" w:hAnsi="宋体" w:eastAsia="宋体" w:cs="仿宋"/>
          <w:b/>
          <w:bCs/>
          <w:color w:val="auto"/>
          <w:sz w:val="24"/>
          <w:szCs w:val="24"/>
          <w:highlight w:val="none"/>
        </w:rPr>
      </w:pPr>
      <w:r>
        <w:rPr>
          <w:rFonts w:hint="eastAsia" w:ascii="宋体" w:hAnsi="宋体" w:eastAsia="宋体" w:cs="仿宋"/>
          <w:b/>
          <w:bCs/>
          <w:color w:val="auto"/>
          <w:sz w:val="24"/>
          <w:szCs w:val="24"/>
          <w:highlight w:val="none"/>
        </w:rPr>
        <w:t>2.1资格审查材料</w:t>
      </w:r>
    </w:p>
    <w:p>
      <w:pPr>
        <w:snapToGrid w:val="0"/>
        <w:spacing w:line="300" w:lineRule="auto"/>
        <w:ind w:firstLine="480" w:firstLineChars="200"/>
        <w:contextualSpacing/>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2.1.1法定代表人身份证明、法人授权委托书（如有授权)（格式见申请文件） </w:t>
      </w:r>
    </w:p>
    <w:p>
      <w:pPr>
        <w:snapToGrid w:val="0"/>
        <w:spacing w:line="300" w:lineRule="auto"/>
        <w:ind w:firstLine="480" w:firstLineChars="200"/>
        <w:contextualSpacing/>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2.1.2企业法人营业执照、申请人基本情况表（格式见申请文件）</w:t>
      </w:r>
    </w:p>
    <w:p>
      <w:pPr>
        <w:snapToGrid w:val="0"/>
        <w:spacing w:line="300" w:lineRule="auto"/>
        <w:ind w:firstLine="480" w:firstLineChars="200"/>
        <w:contextualSpacing/>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2.1.3有效企业资质证书、备案证书以及证书副本；计量认证证书及其附件</w:t>
      </w:r>
    </w:p>
    <w:p>
      <w:pPr>
        <w:snapToGrid w:val="0"/>
        <w:spacing w:line="300" w:lineRule="auto"/>
        <w:ind w:firstLine="480" w:firstLineChars="200"/>
        <w:contextualSpacing/>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2.1.4提供项目负责人与申请单位签订的有效的劳动合同</w:t>
      </w:r>
      <w:r>
        <w:rPr>
          <w:rFonts w:hint="eastAsia" w:ascii="宋体" w:hAnsi="宋体" w:eastAsia="宋体" w:cs="仿宋"/>
          <w:color w:val="auto"/>
          <w:sz w:val="24"/>
          <w:szCs w:val="24"/>
          <w:highlight w:val="none"/>
          <w:lang w:val="en-US" w:eastAsia="zh-CN"/>
        </w:rPr>
        <w:t>以</w:t>
      </w:r>
      <w:r>
        <w:rPr>
          <w:rFonts w:hint="eastAsia" w:ascii="宋体" w:hAnsi="宋体" w:eastAsia="宋体" w:cs="仿宋"/>
          <w:color w:val="auto"/>
          <w:sz w:val="24"/>
          <w:szCs w:val="24"/>
          <w:highlight w:val="none"/>
        </w:rPr>
        <w:t>及申请企业为其缴纳的2022年1</w:t>
      </w:r>
      <w:r>
        <w:rPr>
          <w:rFonts w:hint="eastAsia" w:ascii="宋体" w:hAnsi="宋体" w:eastAsia="宋体" w:cs="仿宋"/>
          <w:color w:val="auto"/>
          <w:sz w:val="24"/>
          <w:szCs w:val="24"/>
          <w:highlight w:val="none"/>
          <w:lang w:val="en-US" w:eastAsia="zh-CN"/>
        </w:rPr>
        <w:t>2</w:t>
      </w:r>
      <w:r>
        <w:rPr>
          <w:rFonts w:hint="eastAsia" w:ascii="宋体" w:hAnsi="宋体" w:eastAsia="宋体" w:cs="仿宋"/>
          <w:color w:val="auto"/>
          <w:sz w:val="24"/>
          <w:szCs w:val="24"/>
          <w:highlight w:val="none"/>
        </w:rPr>
        <w:t>月至2023年</w:t>
      </w:r>
      <w:r>
        <w:rPr>
          <w:rFonts w:hint="eastAsia" w:ascii="宋体" w:hAnsi="宋体" w:eastAsia="宋体" w:cs="仿宋"/>
          <w:color w:val="auto"/>
          <w:sz w:val="24"/>
          <w:szCs w:val="24"/>
          <w:highlight w:val="none"/>
          <w:lang w:val="en-US" w:eastAsia="zh-CN"/>
        </w:rPr>
        <w:t>5</w:t>
      </w:r>
      <w:r>
        <w:rPr>
          <w:rFonts w:hint="eastAsia" w:ascii="宋体" w:hAnsi="宋体" w:eastAsia="宋体" w:cs="仿宋"/>
          <w:color w:val="auto"/>
          <w:sz w:val="24"/>
          <w:szCs w:val="24"/>
          <w:highlight w:val="none"/>
        </w:rPr>
        <w:t>月养老保险缴费证明材料（社保机构出具）；提供项目负责人工程检测人员岗位合格证书和职称证书。</w:t>
      </w:r>
    </w:p>
    <w:p>
      <w:pPr>
        <w:snapToGrid w:val="0"/>
        <w:spacing w:line="300" w:lineRule="auto"/>
        <w:ind w:firstLine="480" w:firstLineChars="200"/>
        <w:contextualSpacing/>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2.1.5诚信承诺书（格式见申请文件）</w:t>
      </w:r>
    </w:p>
    <w:p>
      <w:pPr>
        <w:snapToGrid w:val="0"/>
        <w:spacing w:line="300" w:lineRule="auto"/>
        <w:ind w:firstLine="482" w:firstLineChars="200"/>
        <w:contextualSpacing/>
        <w:rPr>
          <w:rFonts w:ascii="宋体" w:hAnsi="宋体" w:eastAsia="宋体" w:cs="仿宋"/>
          <w:b/>
          <w:bCs/>
          <w:color w:val="auto"/>
          <w:sz w:val="24"/>
          <w:szCs w:val="24"/>
          <w:highlight w:val="none"/>
        </w:rPr>
      </w:pPr>
      <w:r>
        <w:rPr>
          <w:rFonts w:hint="eastAsia" w:ascii="宋体" w:hAnsi="宋体" w:eastAsia="宋体" w:cs="仿宋"/>
          <w:b/>
          <w:bCs/>
          <w:color w:val="auto"/>
          <w:sz w:val="24"/>
          <w:szCs w:val="24"/>
          <w:highlight w:val="none"/>
        </w:rPr>
        <w:t>2.2商务标</w:t>
      </w:r>
    </w:p>
    <w:p>
      <w:pPr>
        <w:snapToGrid w:val="0"/>
        <w:spacing w:line="300" w:lineRule="auto"/>
        <w:ind w:firstLine="480" w:firstLineChars="200"/>
        <w:contextualSpacing/>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2.2.1企业持证上岗检测试验人员的数量及其岗位合格证书；</w:t>
      </w:r>
    </w:p>
    <w:p>
      <w:pPr>
        <w:snapToGrid w:val="0"/>
        <w:spacing w:line="300" w:lineRule="auto"/>
        <w:ind w:firstLine="480" w:firstLineChars="200"/>
        <w:contextualSpacing/>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2.2.2企业高级及以上职称人员的数量及其相关职称证书；</w:t>
      </w:r>
    </w:p>
    <w:p>
      <w:pPr>
        <w:snapToGrid w:val="0"/>
        <w:spacing w:line="300" w:lineRule="auto"/>
        <w:ind w:firstLine="480" w:firstLineChars="200"/>
        <w:contextualSpacing/>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2.2.3业绩情况；</w:t>
      </w:r>
    </w:p>
    <w:p>
      <w:pPr>
        <w:snapToGrid w:val="0"/>
        <w:spacing w:line="300" w:lineRule="auto"/>
        <w:ind w:firstLine="480" w:firstLineChars="200"/>
        <w:contextualSpacing/>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2.2.4具备有效期内的中国合格评定国家认可委员会实验室认可证书；</w:t>
      </w:r>
    </w:p>
    <w:p>
      <w:pPr>
        <w:snapToGrid w:val="0"/>
        <w:spacing w:line="300" w:lineRule="auto"/>
        <w:ind w:firstLine="480" w:firstLineChars="200"/>
        <w:contextualSpacing/>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2.2.5申请函；</w:t>
      </w:r>
    </w:p>
    <w:p>
      <w:pPr>
        <w:snapToGrid w:val="0"/>
        <w:spacing w:line="300" w:lineRule="auto"/>
        <w:ind w:firstLine="480" w:firstLineChars="200"/>
        <w:contextualSpacing/>
        <w:rPr>
          <w:rFonts w:ascii="宋体" w:hAnsi="宋体" w:eastAsia="宋体" w:cs="仿宋"/>
          <w:color w:val="auto"/>
          <w:sz w:val="24"/>
          <w:szCs w:val="24"/>
          <w:highlight w:val="none"/>
        </w:rPr>
      </w:pPr>
      <w:r>
        <w:rPr>
          <w:rFonts w:hint="eastAsia" w:ascii="宋体" w:hAnsi="宋体" w:eastAsia="宋体" w:cs="仿宋"/>
          <w:color w:val="auto"/>
          <w:sz w:val="24"/>
          <w:szCs w:val="24"/>
          <w:highlight w:val="none"/>
          <w:lang w:val="en-US" w:eastAsia="zh-CN"/>
        </w:rPr>
        <w:t>3</w:t>
      </w:r>
      <w:r>
        <w:rPr>
          <w:rFonts w:hint="eastAsia" w:ascii="宋体" w:hAnsi="宋体" w:eastAsia="宋体" w:cs="仿宋"/>
          <w:color w:val="auto"/>
          <w:sz w:val="24"/>
          <w:szCs w:val="24"/>
          <w:highlight w:val="none"/>
        </w:rPr>
        <w:t>.申请文件的编制</w:t>
      </w:r>
    </w:p>
    <w:p>
      <w:pPr>
        <w:snapToGrid w:val="0"/>
        <w:spacing w:line="300" w:lineRule="auto"/>
        <w:ind w:firstLine="480" w:firstLineChars="200"/>
        <w:contextualSpacing/>
        <w:rPr>
          <w:rFonts w:ascii="宋体" w:hAnsi="宋体" w:eastAsia="宋体" w:cs="仿宋"/>
          <w:color w:val="auto"/>
          <w:sz w:val="24"/>
          <w:szCs w:val="24"/>
          <w:highlight w:val="none"/>
        </w:rPr>
      </w:pPr>
      <w:r>
        <w:rPr>
          <w:rFonts w:hint="eastAsia" w:ascii="宋体" w:hAnsi="宋体" w:eastAsia="宋体" w:cs="仿宋"/>
          <w:color w:val="auto"/>
          <w:sz w:val="24"/>
          <w:szCs w:val="24"/>
          <w:highlight w:val="none"/>
          <w:lang w:val="en-US" w:eastAsia="zh-CN"/>
        </w:rPr>
        <w:t>3</w:t>
      </w:r>
      <w:r>
        <w:rPr>
          <w:rFonts w:hint="eastAsia" w:ascii="宋体" w:hAnsi="宋体" w:eastAsia="宋体" w:cs="仿宋"/>
          <w:color w:val="auto"/>
          <w:sz w:val="24"/>
          <w:szCs w:val="24"/>
          <w:highlight w:val="none"/>
        </w:rPr>
        <w:t>.1申请文件应按征集公告“报价”进行编写，申请人应当遵照执行，可以自行扩展，但不能随意删减，否则责任由申请人自负。</w:t>
      </w:r>
    </w:p>
    <w:p>
      <w:pPr>
        <w:snapToGrid w:val="0"/>
        <w:spacing w:line="300" w:lineRule="auto"/>
        <w:ind w:firstLine="482" w:firstLineChars="200"/>
        <w:contextualSpacing/>
        <w:rPr>
          <w:rFonts w:hint="eastAsia" w:ascii="宋体" w:hAnsi="宋体" w:eastAsia="宋体" w:cs="仿宋"/>
          <w:b/>
          <w:bCs/>
          <w:color w:val="auto"/>
          <w:sz w:val="24"/>
          <w:szCs w:val="24"/>
          <w:highlight w:val="none"/>
          <w:lang w:val="en-US" w:eastAsia="zh-CN"/>
        </w:rPr>
      </w:pPr>
      <w:r>
        <w:rPr>
          <w:rFonts w:hint="eastAsia" w:ascii="宋体" w:hAnsi="宋体" w:eastAsia="宋体" w:cs="仿宋"/>
          <w:b/>
          <w:bCs/>
          <w:color w:val="auto"/>
          <w:sz w:val="24"/>
          <w:szCs w:val="24"/>
          <w:highlight w:val="none"/>
        </w:rPr>
        <w:t>叁份完整的纸质申请文件，其中正本一份，副本二份</w:t>
      </w:r>
      <w:r>
        <w:rPr>
          <w:rFonts w:hint="eastAsia" w:ascii="宋体" w:hAnsi="宋体" w:eastAsia="宋体" w:cs="仿宋"/>
          <w:b/>
          <w:bCs/>
          <w:color w:val="auto"/>
          <w:sz w:val="24"/>
          <w:szCs w:val="24"/>
          <w:highlight w:val="none"/>
          <w:lang w:eastAsia="zh-CN"/>
        </w:rPr>
        <w:t>。</w:t>
      </w:r>
    </w:p>
    <w:p>
      <w:pPr>
        <w:snapToGrid w:val="0"/>
        <w:spacing w:line="300" w:lineRule="auto"/>
        <w:ind w:firstLine="480" w:firstLineChars="200"/>
        <w:contextualSpacing/>
        <w:rPr>
          <w:rFonts w:ascii="宋体" w:hAnsi="宋体" w:eastAsia="宋体" w:cs="仿宋"/>
          <w:color w:val="auto"/>
          <w:sz w:val="24"/>
          <w:szCs w:val="24"/>
          <w:highlight w:val="none"/>
        </w:rPr>
      </w:pPr>
      <w:r>
        <w:rPr>
          <w:rFonts w:hint="eastAsia" w:ascii="宋体" w:hAnsi="宋体" w:eastAsia="宋体" w:cs="仿宋"/>
          <w:color w:val="auto"/>
          <w:sz w:val="24"/>
          <w:szCs w:val="24"/>
          <w:highlight w:val="none"/>
          <w:lang w:val="en-US" w:eastAsia="zh-CN"/>
        </w:rPr>
        <w:t>3</w:t>
      </w:r>
      <w:r>
        <w:rPr>
          <w:rFonts w:hint="eastAsia" w:ascii="宋体" w:hAnsi="宋体" w:eastAsia="宋体" w:cs="仿宋"/>
          <w:color w:val="auto"/>
          <w:sz w:val="24"/>
          <w:szCs w:val="24"/>
          <w:highlight w:val="none"/>
        </w:rPr>
        <w:t>.2申请文件正本须用不能擦去的墨水书写或打印，申请文件副本可以复印，其正、副本都应装订成册，并在封面上正确标明“正本”、“副本”字样。全套申请文件应无修改和行间插字。如有修改，须在修改处加盖申请人法定代表人或其委托代理人的印鉴。</w:t>
      </w:r>
    </w:p>
    <w:p>
      <w:pPr>
        <w:snapToGrid w:val="0"/>
        <w:spacing w:line="300" w:lineRule="auto"/>
        <w:ind w:firstLine="480" w:firstLineChars="200"/>
        <w:contextualSpacing/>
        <w:rPr>
          <w:rFonts w:ascii="宋体" w:hAnsi="宋体" w:eastAsia="宋体" w:cs="仿宋"/>
          <w:color w:val="auto"/>
          <w:sz w:val="24"/>
          <w:szCs w:val="24"/>
          <w:highlight w:val="none"/>
        </w:rPr>
      </w:pPr>
      <w:r>
        <w:rPr>
          <w:rFonts w:hint="eastAsia" w:ascii="宋体" w:hAnsi="宋体" w:eastAsia="宋体" w:cs="仿宋"/>
          <w:color w:val="auto"/>
          <w:sz w:val="24"/>
          <w:szCs w:val="24"/>
          <w:highlight w:val="none"/>
          <w:lang w:val="en-US" w:eastAsia="zh-CN"/>
        </w:rPr>
        <w:t>4</w:t>
      </w:r>
      <w:r>
        <w:rPr>
          <w:rFonts w:hint="eastAsia" w:ascii="宋体" w:hAnsi="宋体" w:eastAsia="宋体" w:cs="仿宋"/>
          <w:color w:val="auto"/>
          <w:sz w:val="24"/>
          <w:szCs w:val="24"/>
          <w:highlight w:val="none"/>
        </w:rPr>
        <w:t>.检测试验要求</w:t>
      </w:r>
    </w:p>
    <w:p>
      <w:pPr>
        <w:snapToGrid w:val="0"/>
        <w:spacing w:line="300" w:lineRule="auto"/>
        <w:ind w:firstLine="480" w:firstLineChars="200"/>
        <w:contextualSpacing/>
        <w:rPr>
          <w:rFonts w:ascii="宋体" w:hAnsi="宋体" w:eastAsia="宋体" w:cs="仿宋"/>
          <w:color w:val="auto"/>
          <w:sz w:val="24"/>
          <w:szCs w:val="24"/>
          <w:highlight w:val="none"/>
        </w:rPr>
      </w:pPr>
      <w:r>
        <w:rPr>
          <w:rFonts w:hint="eastAsia" w:ascii="宋体" w:hAnsi="宋体" w:eastAsia="宋体" w:cs="仿宋"/>
          <w:color w:val="auto"/>
          <w:sz w:val="24"/>
          <w:szCs w:val="24"/>
          <w:highlight w:val="none"/>
          <w:lang w:val="en-US" w:eastAsia="zh-CN"/>
        </w:rPr>
        <w:t>4</w:t>
      </w:r>
      <w:r>
        <w:rPr>
          <w:rFonts w:hint="eastAsia" w:ascii="宋体" w:hAnsi="宋体" w:eastAsia="宋体" w:cs="仿宋"/>
          <w:color w:val="auto"/>
          <w:sz w:val="24"/>
          <w:szCs w:val="24"/>
          <w:highlight w:val="none"/>
        </w:rPr>
        <w:t>.1入选人在征集人要求的时间内做好检测试验准备工作并及时开展检测试验业务。</w:t>
      </w:r>
    </w:p>
    <w:p>
      <w:pPr>
        <w:snapToGrid w:val="0"/>
        <w:spacing w:line="300" w:lineRule="auto"/>
        <w:ind w:firstLine="480" w:firstLineChars="200"/>
        <w:contextualSpacing/>
        <w:rPr>
          <w:rFonts w:ascii="宋体" w:hAnsi="宋体" w:eastAsia="宋体" w:cs="仿宋"/>
          <w:color w:val="auto"/>
          <w:sz w:val="24"/>
          <w:szCs w:val="24"/>
          <w:highlight w:val="none"/>
        </w:rPr>
      </w:pPr>
      <w:r>
        <w:rPr>
          <w:rFonts w:hint="eastAsia" w:ascii="宋体" w:hAnsi="宋体" w:eastAsia="宋体" w:cs="仿宋"/>
          <w:color w:val="auto"/>
          <w:sz w:val="24"/>
          <w:szCs w:val="24"/>
          <w:highlight w:val="none"/>
          <w:lang w:val="en-US" w:eastAsia="zh-CN"/>
        </w:rPr>
        <w:t>4</w:t>
      </w:r>
      <w:r>
        <w:rPr>
          <w:rFonts w:hint="eastAsia" w:ascii="宋体" w:hAnsi="宋体" w:eastAsia="宋体" w:cs="仿宋"/>
          <w:color w:val="auto"/>
          <w:sz w:val="24"/>
          <w:szCs w:val="24"/>
          <w:highlight w:val="none"/>
        </w:rPr>
        <w:t>.2入选人的技术力量、设备应满足工程检测试验要求。</w:t>
      </w:r>
    </w:p>
    <w:p>
      <w:pPr>
        <w:snapToGrid w:val="0"/>
        <w:spacing w:line="300" w:lineRule="auto"/>
        <w:ind w:firstLine="480" w:firstLineChars="200"/>
        <w:contextualSpacing/>
        <w:rPr>
          <w:rFonts w:ascii="宋体" w:hAnsi="宋体" w:eastAsia="宋体" w:cs="仿宋"/>
          <w:color w:val="auto"/>
          <w:sz w:val="24"/>
          <w:szCs w:val="24"/>
          <w:highlight w:val="none"/>
        </w:rPr>
      </w:pPr>
      <w:r>
        <w:rPr>
          <w:rFonts w:hint="eastAsia" w:ascii="宋体" w:hAnsi="宋体" w:eastAsia="宋体" w:cs="仿宋"/>
          <w:color w:val="auto"/>
          <w:sz w:val="24"/>
          <w:szCs w:val="24"/>
          <w:highlight w:val="none"/>
          <w:lang w:val="en-US" w:eastAsia="zh-CN"/>
        </w:rPr>
        <w:t>4</w:t>
      </w:r>
      <w:r>
        <w:rPr>
          <w:rFonts w:hint="eastAsia" w:ascii="宋体" w:hAnsi="宋体" w:eastAsia="宋体" w:cs="仿宋"/>
          <w:color w:val="auto"/>
          <w:sz w:val="24"/>
          <w:szCs w:val="24"/>
          <w:highlight w:val="none"/>
        </w:rPr>
        <w:t>.3入选人服从相关部门的监督。</w:t>
      </w:r>
    </w:p>
    <w:p>
      <w:pPr>
        <w:snapToGrid w:val="0"/>
        <w:spacing w:line="300" w:lineRule="auto"/>
        <w:ind w:firstLine="480" w:firstLineChars="200"/>
        <w:contextualSpacing/>
        <w:rPr>
          <w:rFonts w:ascii="宋体" w:hAnsi="宋体" w:eastAsia="宋体" w:cs="仿宋"/>
          <w:color w:val="auto"/>
          <w:sz w:val="24"/>
          <w:szCs w:val="24"/>
          <w:highlight w:val="none"/>
        </w:rPr>
      </w:pPr>
      <w:r>
        <w:rPr>
          <w:rFonts w:hint="eastAsia" w:ascii="宋体" w:hAnsi="宋体" w:eastAsia="宋体" w:cs="仿宋"/>
          <w:color w:val="auto"/>
          <w:sz w:val="24"/>
          <w:szCs w:val="24"/>
          <w:highlight w:val="none"/>
          <w:lang w:val="en-US" w:eastAsia="zh-CN"/>
        </w:rPr>
        <w:t>4</w:t>
      </w:r>
      <w:r>
        <w:rPr>
          <w:rFonts w:hint="eastAsia" w:ascii="宋体" w:hAnsi="宋体" w:eastAsia="宋体" w:cs="仿宋"/>
          <w:color w:val="auto"/>
          <w:sz w:val="24"/>
          <w:szCs w:val="24"/>
          <w:highlight w:val="none"/>
        </w:rPr>
        <w:t>.4入选人需提供检测试验报告一式五份，并及时提供给建设单位。</w:t>
      </w:r>
    </w:p>
    <w:p>
      <w:pPr>
        <w:snapToGrid w:val="0"/>
        <w:spacing w:line="300" w:lineRule="auto"/>
        <w:ind w:firstLine="480" w:firstLineChars="200"/>
        <w:contextualSpacing/>
        <w:rPr>
          <w:rFonts w:ascii="宋体" w:hAnsi="宋体" w:eastAsia="宋体" w:cs="仿宋"/>
          <w:color w:val="auto"/>
          <w:sz w:val="24"/>
          <w:szCs w:val="24"/>
          <w:highlight w:val="none"/>
        </w:rPr>
      </w:pPr>
      <w:r>
        <w:rPr>
          <w:rFonts w:hint="eastAsia" w:ascii="宋体" w:hAnsi="宋体" w:eastAsia="宋体" w:cs="仿宋"/>
          <w:color w:val="auto"/>
          <w:sz w:val="24"/>
          <w:szCs w:val="24"/>
          <w:highlight w:val="none"/>
          <w:lang w:val="en-US" w:eastAsia="zh-CN"/>
        </w:rPr>
        <w:t>4</w:t>
      </w:r>
      <w:r>
        <w:rPr>
          <w:rFonts w:hint="eastAsia" w:ascii="宋体" w:hAnsi="宋体" w:eastAsia="宋体" w:cs="仿宋"/>
          <w:color w:val="auto"/>
          <w:sz w:val="24"/>
          <w:szCs w:val="24"/>
          <w:highlight w:val="none"/>
        </w:rPr>
        <w:t>.5入选人提交的检测试验报告应及时、真实、规范、有效。</w:t>
      </w:r>
    </w:p>
    <w:p>
      <w:pPr>
        <w:snapToGrid w:val="0"/>
        <w:spacing w:line="300" w:lineRule="auto"/>
        <w:ind w:firstLine="480" w:firstLineChars="200"/>
        <w:contextualSpacing/>
        <w:rPr>
          <w:color w:val="auto"/>
          <w:highlight w:val="none"/>
          <w:lang w:val="zh-CN"/>
        </w:rPr>
      </w:pPr>
      <w:r>
        <w:rPr>
          <w:rFonts w:hint="eastAsia" w:ascii="宋体" w:hAnsi="宋体" w:eastAsia="宋体" w:cs="仿宋"/>
          <w:color w:val="auto"/>
          <w:sz w:val="24"/>
          <w:szCs w:val="24"/>
          <w:highlight w:val="none"/>
          <w:lang w:val="en-US" w:eastAsia="zh-CN"/>
        </w:rPr>
        <w:t>4</w:t>
      </w:r>
      <w:r>
        <w:rPr>
          <w:rFonts w:hint="eastAsia" w:ascii="宋体" w:hAnsi="宋体" w:eastAsia="宋体" w:cs="仿宋"/>
          <w:color w:val="auto"/>
          <w:sz w:val="24"/>
          <w:szCs w:val="24"/>
          <w:highlight w:val="none"/>
        </w:rPr>
        <w:t>.6入选人如需对检测试验业务进行分包，必须事先获得建设单位的批准。</w:t>
      </w:r>
    </w:p>
    <w:p>
      <w:pPr>
        <w:snapToGrid w:val="0"/>
        <w:spacing w:line="300" w:lineRule="auto"/>
        <w:ind w:firstLine="482" w:firstLineChars="200"/>
        <w:contextualSpacing/>
        <w:rPr>
          <w:rFonts w:ascii="宋体" w:hAnsi="宋体" w:eastAsia="宋体" w:cs="仿宋"/>
          <w:b/>
          <w:color w:val="auto"/>
          <w:sz w:val="24"/>
          <w:szCs w:val="24"/>
          <w:highlight w:val="none"/>
        </w:rPr>
      </w:pPr>
      <w:r>
        <w:rPr>
          <w:rFonts w:hint="eastAsia" w:ascii="宋体" w:hAnsi="宋体" w:eastAsia="宋体" w:cs="仿宋"/>
          <w:b/>
          <w:color w:val="auto"/>
          <w:sz w:val="24"/>
          <w:szCs w:val="24"/>
          <w:highlight w:val="none"/>
        </w:rPr>
        <w:t xml:space="preserve">五、申请文件的密封及标记   </w:t>
      </w:r>
    </w:p>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1、申请人应将</w:t>
      </w:r>
      <w:r>
        <w:rPr>
          <w:rFonts w:hint="eastAsia" w:ascii="宋体" w:hAnsi="宋体" w:eastAsia="宋体" w:cs="仿宋"/>
          <w:color w:val="auto"/>
          <w:sz w:val="24"/>
          <w:szCs w:val="24"/>
          <w:highlight w:val="none"/>
          <w:lang w:val="zh-CN"/>
        </w:rPr>
        <w:t>资格审查文件</w:t>
      </w:r>
      <w:r>
        <w:rPr>
          <w:rFonts w:hint="eastAsia" w:ascii="宋体" w:hAnsi="宋体" w:eastAsia="宋体" w:cs="仿宋"/>
          <w:color w:val="auto"/>
          <w:sz w:val="24"/>
          <w:szCs w:val="24"/>
          <w:highlight w:val="none"/>
        </w:rPr>
        <w:t>正本、副本合并密封，统一装在一个密封袋内。</w:t>
      </w:r>
    </w:p>
    <w:p>
      <w:pPr>
        <w:snapToGrid w:val="0"/>
        <w:spacing w:line="300" w:lineRule="auto"/>
        <w:ind w:firstLine="480" w:firstLineChars="200"/>
        <w:rPr>
          <w:rFonts w:ascii="宋体" w:hAnsi="宋体" w:eastAsia="宋体" w:cs="仿宋"/>
          <w:color w:val="auto"/>
          <w:sz w:val="24"/>
          <w:szCs w:val="24"/>
          <w:highlight w:val="none"/>
          <w:u w:val="single"/>
        </w:rPr>
      </w:pPr>
      <w:r>
        <w:rPr>
          <w:rFonts w:hint="eastAsia" w:ascii="宋体" w:hAnsi="宋体" w:eastAsia="宋体" w:cs="仿宋"/>
          <w:color w:val="auto"/>
          <w:sz w:val="24"/>
          <w:szCs w:val="24"/>
          <w:highlight w:val="none"/>
        </w:rPr>
        <w:t>2、申请人应将</w:t>
      </w:r>
      <w:r>
        <w:rPr>
          <w:rFonts w:hint="eastAsia" w:ascii="宋体" w:hAnsi="宋体" w:eastAsia="宋体" w:cs="仿宋"/>
          <w:color w:val="auto"/>
          <w:sz w:val="24"/>
          <w:szCs w:val="24"/>
          <w:highlight w:val="none"/>
          <w:lang w:val="en-US" w:eastAsia="zh-CN"/>
        </w:rPr>
        <w:t>商务标</w:t>
      </w:r>
      <w:r>
        <w:rPr>
          <w:rFonts w:hint="eastAsia" w:ascii="宋体" w:hAnsi="宋体" w:eastAsia="宋体" w:cs="仿宋"/>
          <w:color w:val="auto"/>
          <w:sz w:val="24"/>
          <w:szCs w:val="24"/>
          <w:highlight w:val="none"/>
        </w:rPr>
        <w:t>文件正本、副本合并密封，统一装在一个密封袋或密封箱内。</w:t>
      </w:r>
    </w:p>
    <w:p>
      <w:pPr>
        <w:snapToGrid w:val="0"/>
        <w:spacing w:line="300" w:lineRule="auto"/>
        <w:ind w:firstLine="480" w:firstLineChars="200"/>
        <w:contextualSpacing/>
        <w:rPr>
          <w:rFonts w:ascii="宋体" w:hAnsi="宋体" w:eastAsia="宋体" w:cs="仿宋"/>
          <w:color w:val="auto"/>
          <w:sz w:val="24"/>
          <w:szCs w:val="24"/>
          <w:highlight w:val="none"/>
        </w:rPr>
      </w:pPr>
      <w:r>
        <w:rPr>
          <w:rFonts w:hint="eastAsia" w:ascii="宋体" w:hAnsi="宋体" w:eastAsia="宋体" w:cs="仿宋"/>
          <w:color w:val="auto"/>
          <w:sz w:val="24"/>
          <w:szCs w:val="24"/>
          <w:highlight w:val="none"/>
          <w:lang w:val="en-US" w:eastAsia="zh-CN"/>
        </w:rPr>
        <w:t>3</w:t>
      </w:r>
      <w:r>
        <w:rPr>
          <w:rFonts w:hint="eastAsia" w:ascii="宋体" w:hAnsi="宋体" w:eastAsia="宋体" w:cs="仿宋"/>
          <w:color w:val="auto"/>
          <w:sz w:val="24"/>
          <w:szCs w:val="24"/>
          <w:highlight w:val="none"/>
        </w:rPr>
        <w:t>、密封后申请文件（资格审查、商务标）封面分别标明标包名称、项目名称、申请人全称。</w:t>
      </w:r>
    </w:p>
    <w:p>
      <w:pPr>
        <w:snapToGrid w:val="0"/>
        <w:spacing w:line="300" w:lineRule="auto"/>
        <w:ind w:firstLine="480" w:firstLineChars="200"/>
        <w:contextualSpacing/>
        <w:rPr>
          <w:rFonts w:ascii="宋体" w:hAnsi="宋体" w:eastAsia="宋体" w:cs="仿宋"/>
          <w:color w:val="auto"/>
          <w:sz w:val="24"/>
          <w:szCs w:val="24"/>
          <w:highlight w:val="none"/>
        </w:rPr>
      </w:pPr>
      <w:r>
        <w:rPr>
          <w:rFonts w:hint="eastAsia" w:ascii="宋体" w:hAnsi="宋体" w:eastAsia="宋体" w:cs="仿宋"/>
          <w:color w:val="auto"/>
          <w:sz w:val="24"/>
          <w:szCs w:val="24"/>
          <w:highlight w:val="none"/>
          <w:lang w:val="en-US" w:eastAsia="zh-CN"/>
        </w:rPr>
        <w:t>4</w:t>
      </w:r>
      <w:r>
        <w:rPr>
          <w:rFonts w:hint="eastAsia" w:ascii="宋体" w:hAnsi="宋体" w:eastAsia="宋体" w:cs="仿宋"/>
          <w:color w:val="auto"/>
          <w:sz w:val="24"/>
          <w:szCs w:val="24"/>
          <w:highlight w:val="none"/>
        </w:rPr>
        <w:t>、征集人将拒绝接收未按照征集文件要求密封的申请文件。</w:t>
      </w:r>
    </w:p>
    <w:p>
      <w:pPr>
        <w:snapToGrid w:val="0"/>
        <w:spacing w:line="300" w:lineRule="auto"/>
        <w:ind w:firstLine="482" w:firstLineChars="200"/>
        <w:contextualSpacing/>
        <w:rPr>
          <w:rFonts w:ascii="宋体" w:hAnsi="宋体" w:eastAsia="宋体" w:cs="仿宋"/>
          <w:color w:val="auto"/>
          <w:sz w:val="24"/>
          <w:szCs w:val="24"/>
          <w:highlight w:val="none"/>
        </w:rPr>
      </w:pPr>
      <w:r>
        <w:rPr>
          <w:rFonts w:hint="eastAsia" w:ascii="宋体" w:hAnsi="宋体" w:eastAsia="宋体" w:cs="仿宋"/>
          <w:b/>
          <w:bCs/>
          <w:color w:val="auto"/>
          <w:sz w:val="24"/>
          <w:szCs w:val="24"/>
          <w:highlight w:val="none"/>
        </w:rPr>
        <w:t>比选时，申请人须携带申请资料的所有原件，以备查。</w:t>
      </w:r>
    </w:p>
    <w:p>
      <w:pPr>
        <w:snapToGrid w:val="0"/>
        <w:spacing w:line="300" w:lineRule="auto"/>
        <w:ind w:firstLine="482" w:firstLineChars="200"/>
        <w:rPr>
          <w:rFonts w:ascii="宋体" w:hAnsi="宋体" w:eastAsia="宋体" w:cs="仿宋"/>
          <w:b/>
          <w:color w:val="auto"/>
          <w:sz w:val="24"/>
          <w:szCs w:val="24"/>
          <w:highlight w:val="none"/>
        </w:rPr>
      </w:pPr>
      <w:r>
        <w:rPr>
          <w:rFonts w:hint="eastAsia" w:ascii="宋体" w:hAnsi="宋体" w:eastAsia="宋体" w:cs="仿宋"/>
          <w:b/>
          <w:color w:val="auto"/>
          <w:sz w:val="24"/>
          <w:szCs w:val="24"/>
          <w:highlight w:val="none"/>
        </w:rPr>
        <w:t>六、申请文件的递交时间</w:t>
      </w:r>
    </w:p>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申请文件必须在规定的接收截止时间前送达征集人。征集人将拒绝接收在征集截止时间后递交的申请文件。</w:t>
      </w:r>
    </w:p>
    <w:p>
      <w:pPr>
        <w:snapToGrid w:val="0"/>
        <w:spacing w:line="300" w:lineRule="auto"/>
        <w:ind w:firstLine="463" w:firstLineChars="192"/>
        <w:rPr>
          <w:rFonts w:ascii="宋体" w:hAnsi="宋体" w:eastAsia="宋体" w:cs="仿宋"/>
          <w:b/>
          <w:color w:val="auto"/>
          <w:sz w:val="24"/>
          <w:szCs w:val="24"/>
          <w:highlight w:val="none"/>
        </w:rPr>
      </w:pPr>
      <w:r>
        <w:rPr>
          <w:rFonts w:hint="eastAsia" w:ascii="宋体" w:hAnsi="宋体" w:eastAsia="宋体" w:cs="仿宋"/>
          <w:b/>
          <w:color w:val="auto"/>
          <w:sz w:val="24"/>
          <w:szCs w:val="24"/>
          <w:highlight w:val="none"/>
        </w:rPr>
        <w:t>七、比选费用</w:t>
      </w:r>
    </w:p>
    <w:p>
      <w:pPr>
        <w:snapToGrid w:val="0"/>
        <w:spacing w:line="300" w:lineRule="auto"/>
        <w:ind w:firstLine="460" w:firstLineChars="192"/>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1、申请人承担参与比选可能发生的全部费用，征集人在任何情况下均无义务和责任承担这些费用。</w:t>
      </w:r>
    </w:p>
    <w:p>
      <w:pPr>
        <w:snapToGrid w:val="0"/>
        <w:spacing w:line="300" w:lineRule="auto"/>
        <w:ind w:firstLine="460" w:firstLineChars="192"/>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2、本项目的专家评审费由入选单位承担。</w:t>
      </w:r>
    </w:p>
    <w:p>
      <w:pPr>
        <w:spacing w:line="360" w:lineRule="auto"/>
        <w:ind w:firstLine="643" w:firstLineChars="200"/>
        <w:jc w:val="center"/>
        <w:rPr>
          <w:rFonts w:ascii="宋体" w:hAnsi="宋体" w:eastAsia="宋体"/>
          <w:b/>
          <w:bCs/>
          <w:color w:val="auto"/>
          <w:sz w:val="32"/>
          <w:szCs w:val="32"/>
          <w:highlight w:val="none"/>
        </w:rPr>
      </w:pPr>
      <w:r>
        <w:rPr>
          <w:rFonts w:hint="eastAsia" w:ascii="宋体" w:hAnsi="宋体" w:eastAsia="宋体"/>
          <w:b/>
          <w:bCs/>
          <w:color w:val="auto"/>
          <w:sz w:val="32"/>
          <w:szCs w:val="32"/>
          <w:highlight w:val="none"/>
        </w:rPr>
        <w:t>比选办法（综合评估法）</w:t>
      </w:r>
    </w:p>
    <w:p>
      <w:pPr>
        <w:pStyle w:val="24"/>
        <w:numPr>
          <w:ilvl w:val="0"/>
          <w:numId w:val="1"/>
        </w:numPr>
        <w:snapToGrid w:val="0"/>
        <w:spacing w:line="300" w:lineRule="auto"/>
        <w:ind w:firstLineChars="0"/>
        <w:rPr>
          <w:rFonts w:ascii="宋体" w:hAnsi="宋体" w:eastAsia="宋体" w:cs="仿宋"/>
          <w:b/>
          <w:color w:val="auto"/>
          <w:sz w:val="24"/>
          <w:szCs w:val="24"/>
          <w:highlight w:val="none"/>
        </w:rPr>
      </w:pPr>
      <w:r>
        <w:rPr>
          <w:rFonts w:hint="eastAsia" w:ascii="宋体" w:hAnsi="宋体" w:eastAsia="宋体" w:cs="仿宋"/>
          <w:b/>
          <w:color w:val="auto"/>
          <w:sz w:val="24"/>
          <w:szCs w:val="24"/>
          <w:highlight w:val="none"/>
        </w:rPr>
        <w:t>比选程序</w:t>
      </w:r>
    </w:p>
    <w:p>
      <w:pPr>
        <w:pStyle w:val="24"/>
        <w:snapToGrid w:val="0"/>
        <w:spacing w:line="300" w:lineRule="auto"/>
        <w:ind w:left="982" w:firstLine="0" w:firstLineChars="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资格审查→</w:t>
      </w:r>
      <w:bookmarkStart w:id="5" w:name="_Hlk118453409"/>
      <w:bookmarkStart w:id="6" w:name="_Hlk118792744"/>
      <w:r>
        <w:rPr>
          <w:rFonts w:hint="eastAsia" w:ascii="宋体" w:hAnsi="宋体" w:eastAsia="宋体" w:cs="仿宋"/>
          <w:color w:val="auto"/>
          <w:sz w:val="24"/>
          <w:szCs w:val="24"/>
          <w:highlight w:val="none"/>
        </w:rPr>
        <w:t>商务标评审</w:t>
      </w:r>
      <w:bookmarkEnd w:id="5"/>
      <w:r>
        <w:rPr>
          <w:rFonts w:hint="eastAsia" w:ascii="宋体" w:hAnsi="宋体" w:eastAsia="宋体" w:cs="仿宋"/>
          <w:color w:val="auto"/>
          <w:sz w:val="24"/>
          <w:szCs w:val="24"/>
          <w:highlight w:val="none"/>
        </w:rPr>
        <w:t>→</w:t>
      </w:r>
      <w:bookmarkEnd w:id="6"/>
      <w:r>
        <w:rPr>
          <w:rFonts w:hint="eastAsia" w:ascii="宋体" w:hAnsi="宋体" w:eastAsia="宋体" w:cs="仿宋"/>
          <w:color w:val="auto"/>
          <w:sz w:val="24"/>
          <w:szCs w:val="24"/>
          <w:highlight w:val="none"/>
        </w:rPr>
        <w:t>确定入选单位</w:t>
      </w:r>
    </w:p>
    <w:p>
      <w:pPr>
        <w:snapToGrid w:val="0"/>
        <w:spacing w:line="300" w:lineRule="auto"/>
        <w:ind w:firstLine="482" w:firstLineChars="200"/>
        <w:rPr>
          <w:rFonts w:ascii="宋体" w:hAnsi="宋体" w:eastAsia="宋体" w:cs="仿宋"/>
          <w:b/>
          <w:color w:val="auto"/>
          <w:sz w:val="24"/>
          <w:szCs w:val="24"/>
          <w:highlight w:val="none"/>
        </w:rPr>
      </w:pPr>
      <w:r>
        <w:rPr>
          <w:rFonts w:hint="eastAsia" w:ascii="宋体" w:hAnsi="宋体" w:eastAsia="宋体" w:cs="仿宋"/>
          <w:b/>
          <w:color w:val="auto"/>
          <w:sz w:val="24"/>
          <w:szCs w:val="24"/>
          <w:highlight w:val="none"/>
        </w:rPr>
        <w:t>二、资格审查程序及办法</w:t>
      </w:r>
    </w:p>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比选</w:t>
      </w:r>
      <w:r>
        <w:rPr>
          <w:rFonts w:ascii="宋体" w:hAnsi="宋体" w:eastAsia="宋体" w:cs="仿宋"/>
          <w:color w:val="auto"/>
          <w:sz w:val="24"/>
          <w:szCs w:val="24"/>
          <w:highlight w:val="none"/>
        </w:rPr>
        <w:t>委员会将按资格</w:t>
      </w:r>
      <w:r>
        <w:rPr>
          <w:rFonts w:hint="eastAsia" w:ascii="宋体" w:hAnsi="宋体" w:eastAsia="宋体" w:cs="仿宋"/>
          <w:color w:val="auto"/>
          <w:sz w:val="24"/>
          <w:szCs w:val="24"/>
          <w:highlight w:val="none"/>
        </w:rPr>
        <w:t>审查</w:t>
      </w:r>
      <w:r>
        <w:rPr>
          <w:rFonts w:ascii="宋体" w:hAnsi="宋体" w:eastAsia="宋体" w:cs="仿宋"/>
          <w:color w:val="auto"/>
          <w:sz w:val="24"/>
          <w:szCs w:val="24"/>
          <w:highlight w:val="none"/>
        </w:rPr>
        <w:t>标准的合格条件，对各申请人递交的资格审查</w:t>
      </w:r>
      <w:r>
        <w:rPr>
          <w:rFonts w:hint="eastAsia" w:ascii="宋体" w:hAnsi="宋体" w:eastAsia="宋体" w:cs="仿宋"/>
          <w:color w:val="auto"/>
          <w:sz w:val="24"/>
          <w:szCs w:val="24"/>
          <w:highlight w:val="none"/>
        </w:rPr>
        <w:t>文件</w:t>
      </w:r>
      <w:r>
        <w:rPr>
          <w:rFonts w:ascii="宋体" w:hAnsi="宋体" w:eastAsia="宋体" w:cs="仿宋"/>
          <w:color w:val="auto"/>
          <w:sz w:val="24"/>
          <w:szCs w:val="24"/>
          <w:highlight w:val="none"/>
        </w:rPr>
        <w:t>进行评审，</w:t>
      </w:r>
      <w:r>
        <w:rPr>
          <w:rFonts w:hint="eastAsia" w:ascii="宋体" w:hAnsi="宋体" w:eastAsia="宋体" w:cs="仿宋"/>
          <w:color w:val="auto"/>
          <w:sz w:val="24"/>
          <w:szCs w:val="24"/>
          <w:highlight w:val="none"/>
        </w:rPr>
        <w:t>只有通过资格审查的申请人，方可参加下个阶段的评审</w:t>
      </w:r>
      <w:r>
        <w:rPr>
          <w:rFonts w:ascii="宋体" w:hAnsi="宋体" w:eastAsia="宋体" w:cs="仿宋"/>
          <w:color w:val="auto"/>
          <w:sz w:val="24"/>
          <w:szCs w:val="24"/>
          <w:highlight w:val="none"/>
        </w:rPr>
        <w:t>。</w:t>
      </w:r>
    </w:p>
    <w:p>
      <w:pPr>
        <w:snapToGrid w:val="0"/>
        <w:spacing w:line="300" w:lineRule="auto"/>
        <w:jc w:val="center"/>
        <w:rPr>
          <w:rFonts w:ascii="宋体" w:hAnsi="宋体" w:eastAsia="宋体" w:cs="仿宋"/>
          <w:b/>
          <w:color w:val="auto"/>
          <w:sz w:val="24"/>
          <w:szCs w:val="24"/>
          <w:highlight w:val="none"/>
        </w:rPr>
      </w:pPr>
      <w:r>
        <w:rPr>
          <w:rFonts w:hint="eastAsia" w:ascii="宋体" w:hAnsi="宋体" w:eastAsia="宋体" w:cs="仿宋"/>
          <w:b/>
          <w:color w:val="auto"/>
          <w:sz w:val="24"/>
          <w:szCs w:val="24"/>
          <w:highlight w:val="none"/>
        </w:rPr>
        <w:t>资格审查标准</w:t>
      </w:r>
    </w:p>
    <w:tbl>
      <w:tblPr>
        <w:tblStyle w:val="16"/>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6"/>
        <w:gridCol w:w="3402"/>
        <w:gridCol w:w="3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09"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序号</w:t>
            </w:r>
          </w:p>
        </w:tc>
        <w:tc>
          <w:tcPr>
            <w:tcW w:w="2126"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项目内容</w:t>
            </w:r>
          </w:p>
        </w:tc>
        <w:tc>
          <w:tcPr>
            <w:tcW w:w="3402"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合格条件</w:t>
            </w:r>
          </w:p>
        </w:tc>
        <w:tc>
          <w:tcPr>
            <w:tcW w:w="3082"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需提供的证明材料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09" w:type="dxa"/>
            <w:vAlign w:val="center"/>
          </w:tcPr>
          <w:p>
            <w:pPr>
              <w:snapToGrid w:val="0"/>
              <w:spacing w:line="300" w:lineRule="auto"/>
              <w:jc w:val="center"/>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w:t>
            </w:r>
          </w:p>
        </w:tc>
        <w:tc>
          <w:tcPr>
            <w:tcW w:w="2126"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法定代表人身份证明书</w:t>
            </w:r>
          </w:p>
        </w:tc>
        <w:tc>
          <w:tcPr>
            <w:tcW w:w="3402"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有效的法定代表人身份证明书</w:t>
            </w:r>
          </w:p>
        </w:tc>
        <w:tc>
          <w:tcPr>
            <w:tcW w:w="3082"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法定代表人身份证明书（格式见附件）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09" w:type="dxa"/>
            <w:vAlign w:val="center"/>
          </w:tcPr>
          <w:p>
            <w:pPr>
              <w:snapToGrid w:val="0"/>
              <w:spacing w:line="300" w:lineRule="auto"/>
              <w:jc w:val="center"/>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w:t>
            </w:r>
          </w:p>
        </w:tc>
        <w:tc>
          <w:tcPr>
            <w:tcW w:w="2126"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授权委托书（如有授权）</w:t>
            </w:r>
          </w:p>
        </w:tc>
        <w:tc>
          <w:tcPr>
            <w:tcW w:w="3402"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有效的授权委托书</w:t>
            </w:r>
          </w:p>
        </w:tc>
        <w:tc>
          <w:tcPr>
            <w:tcW w:w="3082"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授权委托书（格式见附件）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09" w:type="dxa"/>
            <w:vAlign w:val="center"/>
          </w:tcPr>
          <w:p>
            <w:pPr>
              <w:snapToGrid w:val="0"/>
              <w:spacing w:line="300" w:lineRule="auto"/>
              <w:jc w:val="center"/>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w:t>
            </w:r>
          </w:p>
        </w:tc>
        <w:tc>
          <w:tcPr>
            <w:tcW w:w="2126"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申请人基本情况一览表</w:t>
            </w:r>
          </w:p>
        </w:tc>
        <w:tc>
          <w:tcPr>
            <w:tcW w:w="3402"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有效的申请人基本情况一览表</w:t>
            </w:r>
          </w:p>
        </w:tc>
        <w:tc>
          <w:tcPr>
            <w:tcW w:w="3082" w:type="dxa"/>
            <w:vAlign w:val="center"/>
          </w:tcPr>
          <w:p>
            <w:pPr>
              <w:snapToGrid w:val="0"/>
              <w:spacing w:line="300" w:lineRule="auto"/>
              <w:rPr>
                <w:rFonts w:ascii="宋体" w:hAnsi="宋体" w:eastAsia="宋体" w:cs="仿宋"/>
                <w:color w:val="auto"/>
                <w:sz w:val="24"/>
                <w:szCs w:val="24"/>
                <w:highlight w:val="none"/>
              </w:rPr>
            </w:pPr>
            <w:bookmarkStart w:id="7" w:name="_Hlk117879720"/>
            <w:r>
              <w:rPr>
                <w:rFonts w:hint="eastAsia" w:ascii="宋体" w:hAnsi="宋体" w:eastAsia="宋体" w:cs="仿宋"/>
                <w:color w:val="auto"/>
                <w:sz w:val="24"/>
                <w:szCs w:val="24"/>
                <w:highlight w:val="none"/>
              </w:rPr>
              <w:t>申请人基本情况一览表</w:t>
            </w:r>
            <w:bookmarkEnd w:id="7"/>
            <w:r>
              <w:rPr>
                <w:rFonts w:hint="eastAsia" w:ascii="宋体" w:hAnsi="宋体" w:eastAsia="宋体" w:cs="仿宋"/>
                <w:color w:val="auto"/>
                <w:sz w:val="24"/>
                <w:szCs w:val="24"/>
                <w:highlight w:val="none"/>
              </w:rPr>
              <w:t>（格式见附件）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09" w:type="dxa"/>
            <w:vAlign w:val="center"/>
          </w:tcPr>
          <w:p>
            <w:pPr>
              <w:snapToGrid w:val="0"/>
              <w:spacing w:line="300" w:lineRule="auto"/>
              <w:jc w:val="center"/>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4</w:t>
            </w:r>
          </w:p>
        </w:tc>
        <w:tc>
          <w:tcPr>
            <w:tcW w:w="2126"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企业法人营业执照</w:t>
            </w:r>
          </w:p>
        </w:tc>
        <w:tc>
          <w:tcPr>
            <w:tcW w:w="3402"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工商行政管理部门颁发的有效法人营业执照</w:t>
            </w:r>
          </w:p>
        </w:tc>
        <w:tc>
          <w:tcPr>
            <w:tcW w:w="3082"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有效的企业营业执照（副本复印件）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709" w:type="dxa"/>
            <w:vAlign w:val="center"/>
          </w:tcPr>
          <w:p>
            <w:pPr>
              <w:snapToGrid w:val="0"/>
              <w:spacing w:line="300" w:lineRule="auto"/>
              <w:jc w:val="center"/>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5</w:t>
            </w:r>
          </w:p>
        </w:tc>
        <w:tc>
          <w:tcPr>
            <w:tcW w:w="2126"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企业资质类别等级</w:t>
            </w:r>
          </w:p>
        </w:tc>
        <w:tc>
          <w:tcPr>
            <w:tcW w:w="3402"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申请人有效期内的省级及以上建设行政主管部门核发的《建设工程质量检测机构资质证书》，“资质证书”中必须包括见证取样检测和地基基础检测；同时具有建设行政主管部门核发的《建设工程质量检测机构备案证书》， “资质证书”、“备案证书”或“CMA计量认证证书”中的附表必须包含征集范围所列的检测项目。</w:t>
            </w:r>
          </w:p>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2.申请人有效期内的省级及以上质量技术监督局颁发的CMA计量认证证书；其中包括DGJ321TJ194-2015《绿色建筑室内环境检测技术标准》中的室内声环境、室内光环境的检测项目。</w:t>
            </w:r>
          </w:p>
        </w:tc>
        <w:tc>
          <w:tcPr>
            <w:tcW w:w="3082"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有效企业资质证书、备案证书以及</w:t>
            </w:r>
            <w:r>
              <w:rPr>
                <w:rFonts w:hint="default" w:ascii="宋体" w:hAnsi="宋体" w:eastAsia="宋体" w:cs="仿宋"/>
                <w:color w:val="auto"/>
                <w:sz w:val="24"/>
                <w:szCs w:val="24"/>
                <w:highlight w:val="none"/>
                <w:lang w:val="en-US"/>
              </w:rPr>
              <w:t>证书副本</w:t>
            </w:r>
            <w:r>
              <w:rPr>
                <w:rFonts w:hint="eastAsia" w:ascii="宋体" w:hAnsi="宋体" w:eastAsia="宋体" w:cs="仿宋"/>
                <w:color w:val="auto"/>
                <w:sz w:val="24"/>
                <w:szCs w:val="24"/>
                <w:highlight w:val="none"/>
              </w:rPr>
              <w:t>；计量认证证书及其附件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709" w:type="dxa"/>
            <w:vAlign w:val="center"/>
          </w:tcPr>
          <w:p>
            <w:pPr>
              <w:snapToGrid w:val="0"/>
              <w:spacing w:line="300" w:lineRule="auto"/>
              <w:jc w:val="center"/>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6</w:t>
            </w:r>
          </w:p>
        </w:tc>
        <w:tc>
          <w:tcPr>
            <w:tcW w:w="2126"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固定场所证明</w:t>
            </w:r>
          </w:p>
        </w:tc>
        <w:tc>
          <w:tcPr>
            <w:tcW w:w="3402"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申请人在南通市市区要有固定营业场所，且营业场所应符合《建设工程质量检测规程》（DGJ32/J21-2009）的要求</w:t>
            </w:r>
          </w:p>
        </w:tc>
        <w:tc>
          <w:tcPr>
            <w:tcW w:w="3082"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提供在南通市有固定办公场所证明（公司名称的房屋产权证明或租房协议及所租房屋的产权证明）复印件，企业注册地在南通市外的</w:t>
            </w:r>
            <w:r>
              <w:rPr>
                <w:rFonts w:hint="eastAsia" w:ascii="宋体" w:hAnsi="宋体" w:eastAsia="宋体" w:cs="仿宋"/>
                <w:color w:val="auto"/>
                <w:sz w:val="24"/>
                <w:szCs w:val="24"/>
                <w:highlight w:val="none"/>
                <w:lang w:val="en-US" w:eastAsia="zh-CN"/>
              </w:rPr>
              <w:t>检测</w:t>
            </w:r>
            <w:r>
              <w:rPr>
                <w:rFonts w:hint="eastAsia" w:ascii="宋体" w:hAnsi="宋体" w:eastAsia="宋体" w:cs="仿宋"/>
                <w:color w:val="auto"/>
                <w:sz w:val="24"/>
                <w:szCs w:val="24"/>
                <w:highlight w:val="none"/>
              </w:rPr>
              <w:t>机构还须提供南通市的分支机构营业执照复印件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709" w:type="dxa"/>
            <w:vAlign w:val="center"/>
          </w:tcPr>
          <w:p>
            <w:pPr>
              <w:snapToGrid w:val="0"/>
              <w:spacing w:line="300" w:lineRule="auto"/>
              <w:jc w:val="center"/>
              <w:rPr>
                <w:rFonts w:ascii="宋体" w:hAnsi="宋体" w:eastAsia="宋体" w:cs="仿宋"/>
                <w:color w:val="auto"/>
                <w:sz w:val="24"/>
                <w:szCs w:val="24"/>
                <w:highlight w:val="none"/>
              </w:rPr>
            </w:pPr>
            <w:r>
              <w:rPr>
                <w:rFonts w:ascii="宋体" w:hAnsi="宋体" w:eastAsia="宋体" w:cs="仿宋"/>
                <w:color w:val="auto"/>
                <w:sz w:val="24"/>
                <w:szCs w:val="24"/>
                <w:highlight w:val="none"/>
              </w:rPr>
              <w:t>7</w:t>
            </w:r>
          </w:p>
        </w:tc>
        <w:tc>
          <w:tcPr>
            <w:tcW w:w="2126"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拟派的项目负责人</w:t>
            </w:r>
          </w:p>
        </w:tc>
        <w:tc>
          <w:tcPr>
            <w:tcW w:w="3402"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拟派项目负责人必须具备省级及以上建设行政主管部门核发的建设工程质量检测人员岗位合格证，并同时具备建设工程类高级及以上技术职称且为申请企业的正式员工。</w:t>
            </w:r>
          </w:p>
        </w:tc>
        <w:tc>
          <w:tcPr>
            <w:tcW w:w="3082" w:type="dxa"/>
            <w:vAlign w:val="center"/>
          </w:tcPr>
          <w:p>
            <w:pPr>
              <w:numPr>
                <w:ilvl w:val="0"/>
                <w:numId w:val="2"/>
              </w:num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身份证（复印件）</w:t>
            </w:r>
          </w:p>
          <w:p>
            <w:pPr>
              <w:numPr>
                <w:ilvl w:val="0"/>
                <w:numId w:val="2"/>
              </w:numPr>
              <w:snapToGrid w:val="0"/>
              <w:spacing w:line="300" w:lineRule="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项目负责人工程检测人员资格证书</w:t>
            </w:r>
            <w:r>
              <w:rPr>
                <w:rFonts w:hint="eastAsia" w:ascii="宋体" w:hAnsi="宋体" w:eastAsia="宋体" w:cs="仿宋"/>
                <w:color w:val="auto"/>
                <w:sz w:val="24"/>
                <w:szCs w:val="24"/>
                <w:highlight w:val="none"/>
                <w:lang w:val="en-US" w:eastAsia="zh-CN"/>
              </w:rPr>
              <w:t>和职称证书</w:t>
            </w:r>
            <w:r>
              <w:rPr>
                <w:rFonts w:hint="eastAsia" w:ascii="宋体" w:hAnsi="宋体" w:eastAsia="宋体" w:cs="仿宋"/>
                <w:color w:val="auto"/>
                <w:sz w:val="24"/>
                <w:szCs w:val="24"/>
                <w:highlight w:val="none"/>
              </w:rPr>
              <w:t xml:space="preserve">  </w:t>
            </w:r>
          </w:p>
          <w:p>
            <w:pPr>
              <w:numPr>
                <w:ilvl w:val="0"/>
                <w:numId w:val="2"/>
              </w:numPr>
              <w:tabs>
                <w:tab w:val="clear" w:pos="360"/>
              </w:tabs>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劳动合同（复印件）</w:t>
            </w:r>
          </w:p>
          <w:p>
            <w:pPr>
              <w:numPr>
                <w:ilvl w:val="0"/>
                <w:numId w:val="2"/>
              </w:numPr>
              <w:tabs>
                <w:tab w:val="clear" w:pos="360"/>
              </w:tabs>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申请企业为其缴纳的20</w:t>
            </w:r>
            <w:r>
              <w:rPr>
                <w:rFonts w:ascii="宋体" w:hAnsi="宋体" w:eastAsia="宋体" w:cs="仿宋"/>
                <w:color w:val="auto"/>
                <w:sz w:val="24"/>
                <w:szCs w:val="24"/>
                <w:highlight w:val="none"/>
              </w:rPr>
              <w:t>22</w:t>
            </w:r>
            <w:r>
              <w:rPr>
                <w:rFonts w:hint="eastAsia" w:ascii="宋体" w:hAnsi="宋体" w:eastAsia="宋体" w:cs="仿宋"/>
                <w:color w:val="auto"/>
                <w:sz w:val="24"/>
                <w:szCs w:val="24"/>
                <w:highlight w:val="none"/>
              </w:rPr>
              <w:t>年1</w:t>
            </w:r>
            <w:r>
              <w:rPr>
                <w:rFonts w:hint="eastAsia" w:ascii="宋体" w:hAnsi="宋体" w:eastAsia="宋体" w:cs="仿宋"/>
                <w:color w:val="auto"/>
                <w:sz w:val="24"/>
                <w:szCs w:val="24"/>
                <w:highlight w:val="none"/>
                <w:lang w:val="en-US" w:eastAsia="zh-CN"/>
              </w:rPr>
              <w:t>2</w:t>
            </w:r>
            <w:r>
              <w:rPr>
                <w:rFonts w:hint="eastAsia" w:ascii="宋体" w:hAnsi="宋体" w:eastAsia="宋体" w:cs="仿宋"/>
                <w:color w:val="auto"/>
                <w:sz w:val="24"/>
                <w:szCs w:val="24"/>
                <w:highlight w:val="none"/>
              </w:rPr>
              <w:t>月至20</w:t>
            </w:r>
            <w:r>
              <w:rPr>
                <w:rFonts w:ascii="宋体" w:hAnsi="宋体" w:eastAsia="宋体" w:cs="仿宋"/>
                <w:color w:val="auto"/>
                <w:sz w:val="24"/>
                <w:szCs w:val="24"/>
                <w:highlight w:val="none"/>
              </w:rPr>
              <w:t>2</w:t>
            </w:r>
            <w:r>
              <w:rPr>
                <w:rFonts w:hint="eastAsia" w:ascii="宋体" w:hAnsi="宋体" w:eastAsia="宋体" w:cs="仿宋"/>
                <w:color w:val="auto"/>
                <w:sz w:val="24"/>
                <w:szCs w:val="24"/>
                <w:highlight w:val="none"/>
              </w:rPr>
              <w:t>3年</w:t>
            </w:r>
            <w:r>
              <w:rPr>
                <w:rFonts w:hint="eastAsia" w:ascii="宋体" w:hAnsi="宋体" w:eastAsia="宋体" w:cs="仿宋"/>
                <w:color w:val="auto"/>
                <w:sz w:val="24"/>
                <w:szCs w:val="24"/>
                <w:highlight w:val="none"/>
                <w:lang w:val="en-US" w:eastAsia="zh-CN"/>
              </w:rPr>
              <w:t>5</w:t>
            </w:r>
            <w:r>
              <w:rPr>
                <w:rFonts w:hint="eastAsia" w:ascii="宋体" w:hAnsi="宋体" w:eastAsia="宋体" w:cs="仿宋"/>
                <w:color w:val="auto"/>
                <w:sz w:val="24"/>
                <w:szCs w:val="24"/>
                <w:highlight w:val="none"/>
              </w:rPr>
              <w:t>月的连续6个月的社保缴费记录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709" w:type="dxa"/>
            <w:vAlign w:val="center"/>
          </w:tcPr>
          <w:p>
            <w:pPr>
              <w:snapToGrid w:val="0"/>
              <w:spacing w:line="300" w:lineRule="auto"/>
              <w:jc w:val="center"/>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8</w:t>
            </w:r>
          </w:p>
        </w:tc>
        <w:tc>
          <w:tcPr>
            <w:tcW w:w="2126"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承诺函</w:t>
            </w:r>
          </w:p>
        </w:tc>
        <w:tc>
          <w:tcPr>
            <w:tcW w:w="3402"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有效的承诺函</w:t>
            </w:r>
          </w:p>
        </w:tc>
        <w:tc>
          <w:tcPr>
            <w:tcW w:w="3082" w:type="dxa"/>
            <w:vAlign w:val="center"/>
          </w:tcPr>
          <w:p>
            <w:pPr>
              <w:snapToGrid w:val="0"/>
              <w:spacing w:line="300" w:lineRule="auto"/>
              <w:ind w:left="36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承诺函（格式见附件）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709" w:type="dxa"/>
            <w:vAlign w:val="center"/>
          </w:tcPr>
          <w:p>
            <w:pPr>
              <w:snapToGrid w:val="0"/>
              <w:spacing w:line="300" w:lineRule="auto"/>
              <w:jc w:val="center"/>
              <w:rPr>
                <w:rFonts w:ascii="宋体" w:hAnsi="宋体" w:eastAsia="宋体" w:cs="仿宋"/>
                <w:color w:val="auto"/>
                <w:sz w:val="24"/>
                <w:szCs w:val="24"/>
                <w:highlight w:val="none"/>
              </w:rPr>
            </w:pPr>
            <w:r>
              <w:rPr>
                <w:rFonts w:ascii="宋体" w:hAnsi="宋体" w:eastAsia="宋体" w:cs="仿宋"/>
                <w:color w:val="auto"/>
                <w:sz w:val="24"/>
                <w:szCs w:val="24"/>
                <w:highlight w:val="none"/>
              </w:rPr>
              <w:t>9</w:t>
            </w:r>
          </w:p>
        </w:tc>
        <w:tc>
          <w:tcPr>
            <w:tcW w:w="2126"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诚信承诺书</w:t>
            </w:r>
          </w:p>
        </w:tc>
        <w:tc>
          <w:tcPr>
            <w:tcW w:w="3402"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有效的承诺书</w:t>
            </w:r>
          </w:p>
        </w:tc>
        <w:tc>
          <w:tcPr>
            <w:tcW w:w="3082"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b/>
                <w:color w:val="auto"/>
                <w:sz w:val="24"/>
                <w:szCs w:val="24"/>
                <w:highlight w:val="none"/>
              </w:rPr>
              <w:t>诚信承诺书（格式见附件）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9319" w:type="dxa"/>
            <w:gridSpan w:val="4"/>
            <w:vAlign w:val="center"/>
          </w:tcPr>
          <w:p>
            <w:pPr>
              <w:snapToGrid w:val="0"/>
              <w:spacing w:line="300" w:lineRule="auto"/>
              <w:rPr>
                <w:rFonts w:ascii="宋体" w:hAnsi="宋体" w:eastAsia="宋体" w:cs="仿宋"/>
                <w:b/>
                <w:color w:val="auto"/>
                <w:sz w:val="24"/>
                <w:szCs w:val="24"/>
                <w:highlight w:val="none"/>
              </w:rPr>
            </w:pPr>
            <w:r>
              <w:rPr>
                <w:rFonts w:hint="eastAsia" w:ascii="宋体" w:hAnsi="宋体" w:eastAsia="宋体" w:cs="仿宋"/>
                <w:color w:val="auto"/>
                <w:sz w:val="24"/>
                <w:szCs w:val="24"/>
                <w:highlight w:val="none"/>
              </w:rPr>
              <w:t>备注：以上</w:t>
            </w:r>
            <w:r>
              <w:rPr>
                <w:rFonts w:ascii="宋体" w:hAnsi="宋体" w:eastAsia="宋体" w:cs="仿宋"/>
                <w:color w:val="auto"/>
                <w:sz w:val="24"/>
                <w:szCs w:val="24"/>
                <w:highlight w:val="none"/>
              </w:rPr>
              <w:t>1-9</w:t>
            </w:r>
            <w:r>
              <w:rPr>
                <w:rFonts w:hint="eastAsia" w:ascii="宋体" w:hAnsi="宋体" w:eastAsia="宋体" w:cs="仿宋"/>
                <w:color w:val="auto"/>
                <w:sz w:val="24"/>
                <w:szCs w:val="24"/>
                <w:highlight w:val="none"/>
              </w:rPr>
              <w:t>中任何一条不符合要求的，则资格审查不通过。而且，上述需提供复印件的文件须盖其单位公章，否则资格审查不通过。</w:t>
            </w:r>
          </w:p>
        </w:tc>
      </w:tr>
    </w:tbl>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申请人有下列情形之一的，视作为资格审查不通过：</w:t>
      </w:r>
    </w:p>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1、未实质性响应征集文件中资格审查申请条件要求的；</w:t>
      </w:r>
    </w:p>
    <w:p>
      <w:pPr>
        <w:snapToGrid w:val="0"/>
        <w:spacing w:line="300" w:lineRule="auto"/>
        <w:ind w:firstLine="482" w:firstLineChars="200"/>
        <w:rPr>
          <w:rFonts w:ascii="宋体" w:hAnsi="宋体" w:eastAsia="宋体" w:cs="仿宋"/>
          <w:b/>
          <w:bCs/>
          <w:color w:val="auto"/>
          <w:sz w:val="24"/>
          <w:szCs w:val="24"/>
          <w:highlight w:val="none"/>
          <w:u w:val="single"/>
        </w:rPr>
      </w:pPr>
      <w:r>
        <w:rPr>
          <w:rFonts w:hint="eastAsia" w:ascii="宋体" w:hAnsi="宋体" w:eastAsia="宋体" w:cs="仿宋"/>
          <w:b/>
          <w:bCs/>
          <w:color w:val="auto"/>
          <w:sz w:val="24"/>
          <w:szCs w:val="24"/>
          <w:highlight w:val="none"/>
          <w:u w:val="single"/>
        </w:rPr>
        <w:t>2、处于被责令停业或者财产被接管、冻结和破产状态；</w:t>
      </w:r>
    </w:p>
    <w:p>
      <w:pPr>
        <w:snapToGrid w:val="0"/>
        <w:spacing w:line="300" w:lineRule="auto"/>
        <w:ind w:firstLine="482" w:firstLineChars="200"/>
        <w:rPr>
          <w:rFonts w:ascii="宋体" w:hAnsi="宋体" w:eastAsia="宋体" w:cs="仿宋"/>
          <w:b/>
          <w:bCs/>
          <w:color w:val="auto"/>
          <w:sz w:val="24"/>
          <w:szCs w:val="24"/>
          <w:highlight w:val="none"/>
          <w:u w:val="single"/>
        </w:rPr>
      </w:pPr>
      <w:r>
        <w:rPr>
          <w:rFonts w:hint="eastAsia" w:ascii="宋体" w:hAnsi="宋体" w:eastAsia="宋体" w:cs="仿宋"/>
          <w:b/>
          <w:bCs/>
          <w:color w:val="auto"/>
          <w:sz w:val="24"/>
          <w:szCs w:val="24"/>
          <w:highlight w:val="none"/>
          <w:u w:val="single"/>
        </w:rPr>
        <w:t>3、因骗取中标或者严重违约以及发生重大工程质量、安全生产事故等问题，被有关部门暂停申请资格并在暂停期内；</w:t>
      </w:r>
    </w:p>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4、为本征集项目的监理人、代理人；与本征集项目的监理人、征集代理人同为一个法定代表人的，或者相互控股、参股的；</w:t>
      </w:r>
    </w:p>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5、单位负责人为同一人或者存在控股、管理关系的不同单位；</w:t>
      </w:r>
    </w:p>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6、与征集人存在利害关系可能影响征集公正性的；</w:t>
      </w:r>
    </w:p>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7、不按评标委员会要求澄清、说明或补正的；</w:t>
      </w:r>
    </w:p>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8、串通比选或弄虚作假或有其他违法行为的；</w:t>
      </w:r>
    </w:p>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9、资格审查文件中出现比选报价的。</w:t>
      </w:r>
    </w:p>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资格审查评审未通过的，不再进行后续评审。</w:t>
      </w:r>
    </w:p>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三、商务标评审（100分）</w:t>
      </w:r>
    </w:p>
    <w:p>
      <w:pPr>
        <w:snapToGrid w:val="0"/>
        <w:spacing w:line="300" w:lineRule="auto"/>
        <w:ind w:firstLine="482" w:firstLineChars="200"/>
        <w:rPr>
          <w:rFonts w:hint="eastAsia" w:ascii="宋体" w:hAnsi="宋体" w:eastAsia="宋体" w:cs="仿宋"/>
          <w:b/>
          <w:color w:val="auto"/>
          <w:sz w:val="24"/>
          <w:szCs w:val="24"/>
          <w:highlight w:val="none"/>
        </w:rPr>
      </w:pPr>
      <w:r>
        <w:rPr>
          <w:rFonts w:hint="eastAsia" w:ascii="宋体" w:hAnsi="宋体" w:eastAsia="宋体" w:cs="仿宋"/>
          <w:b/>
          <w:color w:val="auto"/>
          <w:sz w:val="24"/>
          <w:szCs w:val="24"/>
          <w:highlight w:val="none"/>
        </w:rPr>
        <w:t>1、企业综合实力（30分）</w:t>
      </w:r>
    </w:p>
    <w:p>
      <w:pPr>
        <w:snapToGrid w:val="0"/>
        <w:spacing w:line="300" w:lineRule="auto"/>
        <w:ind w:firstLine="482" w:firstLineChars="200"/>
        <w:rPr>
          <w:rFonts w:ascii="宋体" w:hAnsi="宋体" w:eastAsia="宋体" w:cs="仿宋"/>
          <w:b/>
          <w:color w:val="auto"/>
          <w:sz w:val="24"/>
          <w:szCs w:val="24"/>
          <w:highlight w:val="none"/>
        </w:rPr>
      </w:pPr>
      <w:r>
        <w:rPr>
          <w:rFonts w:hint="eastAsia" w:ascii="宋体" w:hAnsi="宋体" w:eastAsia="宋体" w:cs="仿宋"/>
          <w:b/>
          <w:color w:val="auto"/>
          <w:sz w:val="24"/>
          <w:szCs w:val="24"/>
          <w:highlight w:val="none"/>
        </w:rPr>
        <w:t>1.1企业持证上岗检测试验人员的数量及其岗位合格证书（5分）</w:t>
      </w:r>
    </w:p>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10人以下（不含10人）得1分，10-30（不含）人得2分，30人及以上得5分。</w:t>
      </w:r>
    </w:p>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注：须同时提供企业持证上岗检测试验人员表、岗位合格证书、2022年</w:t>
      </w:r>
      <w:r>
        <w:rPr>
          <w:rFonts w:hint="eastAsia" w:ascii="宋体" w:hAnsi="宋体" w:eastAsia="宋体" w:cs="仿宋"/>
          <w:color w:val="auto"/>
          <w:sz w:val="24"/>
          <w:szCs w:val="24"/>
          <w:highlight w:val="none"/>
          <w:lang w:val="en-US" w:eastAsia="zh-CN"/>
        </w:rPr>
        <w:t>12</w:t>
      </w:r>
      <w:r>
        <w:rPr>
          <w:rFonts w:hint="eastAsia" w:ascii="宋体" w:hAnsi="宋体" w:eastAsia="宋体" w:cs="仿宋"/>
          <w:color w:val="auto"/>
          <w:sz w:val="24"/>
          <w:szCs w:val="24"/>
          <w:highlight w:val="none"/>
        </w:rPr>
        <w:t>月-2023年</w:t>
      </w:r>
      <w:r>
        <w:rPr>
          <w:rFonts w:hint="eastAsia" w:ascii="宋体" w:hAnsi="宋体" w:eastAsia="宋体" w:cs="仿宋"/>
          <w:color w:val="auto"/>
          <w:sz w:val="24"/>
          <w:szCs w:val="24"/>
          <w:highlight w:val="none"/>
          <w:lang w:val="en-US" w:eastAsia="zh-CN"/>
        </w:rPr>
        <w:t>5</w:t>
      </w:r>
      <w:r>
        <w:rPr>
          <w:rFonts w:hint="eastAsia" w:ascii="宋体" w:hAnsi="宋体" w:eastAsia="宋体" w:cs="仿宋"/>
          <w:color w:val="auto"/>
          <w:sz w:val="24"/>
          <w:szCs w:val="24"/>
          <w:highlight w:val="none"/>
        </w:rPr>
        <w:t>月养老保险缴费证明材料（社保机构出具）。若为退休人员，须同时提供退休证、聘用协议、检测单位真实性承诺代替社保缴费证明。</w:t>
      </w:r>
    </w:p>
    <w:p>
      <w:pPr>
        <w:snapToGrid w:val="0"/>
        <w:spacing w:line="300" w:lineRule="auto"/>
        <w:ind w:firstLine="482" w:firstLineChars="200"/>
        <w:rPr>
          <w:rFonts w:ascii="宋体" w:hAnsi="宋体" w:eastAsia="宋体" w:cs="仿宋"/>
          <w:b/>
          <w:color w:val="auto"/>
          <w:sz w:val="24"/>
          <w:szCs w:val="24"/>
          <w:highlight w:val="none"/>
        </w:rPr>
      </w:pPr>
      <w:r>
        <w:rPr>
          <w:rFonts w:hint="eastAsia" w:ascii="宋体" w:hAnsi="宋体" w:eastAsia="宋体" w:cs="仿宋"/>
          <w:b/>
          <w:color w:val="auto"/>
          <w:sz w:val="24"/>
          <w:szCs w:val="24"/>
          <w:highlight w:val="none"/>
        </w:rPr>
        <w:t>1.2企业高级及以上职称人员的数量及其相关职称证书（5分）</w:t>
      </w:r>
    </w:p>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5人以下（不含5人）得1分，5-10（不含）人得2分，10人及以上得3分，每有一个正高级工程师加1分，最多加2分。本项最高得5分。</w:t>
      </w:r>
    </w:p>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注：须同时提供企业职称人员表、职称证书、2022年1</w:t>
      </w:r>
      <w:r>
        <w:rPr>
          <w:rFonts w:hint="eastAsia" w:ascii="宋体" w:hAnsi="宋体" w:eastAsia="宋体" w:cs="仿宋"/>
          <w:color w:val="auto"/>
          <w:sz w:val="24"/>
          <w:szCs w:val="24"/>
          <w:highlight w:val="none"/>
          <w:lang w:val="en-US" w:eastAsia="zh-CN"/>
        </w:rPr>
        <w:t>2</w:t>
      </w:r>
      <w:r>
        <w:rPr>
          <w:rFonts w:hint="eastAsia" w:ascii="宋体" w:hAnsi="宋体" w:eastAsia="宋体" w:cs="仿宋"/>
          <w:color w:val="auto"/>
          <w:sz w:val="24"/>
          <w:szCs w:val="24"/>
          <w:highlight w:val="none"/>
        </w:rPr>
        <w:t>月-2023年</w:t>
      </w:r>
      <w:r>
        <w:rPr>
          <w:rFonts w:hint="eastAsia" w:ascii="宋体" w:hAnsi="宋体" w:eastAsia="宋体" w:cs="仿宋"/>
          <w:color w:val="auto"/>
          <w:sz w:val="24"/>
          <w:szCs w:val="24"/>
          <w:highlight w:val="none"/>
          <w:lang w:val="en-US" w:eastAsia="zh-CN"/>
        </w:rPr>
        <w:t>5</w:t>
      </w:r>
      <w:r>
        <w:rPr>
          <w:rFonts w:hint="eastAsia" w:ascii="宋体" w:hAnsi="宋体" w:eastAsia="宋体" w:cs="仿宋"/>
          <w:color w:val="auto"/>
          <w:sz w:val="24"/>
          <w:szCs w:val="24"/>
          <w:highlight w:val="none"/>
        </w:rPr>
        <w:t>月养老保险缴费证明材料（社保机构出具）。</w:t>
      </w:r>
    </w:p>
    <w:p>
      <w:pPr>
        <w:snapToGrid w:val="0"/>
        <w:spacing w:line="300" w:lineRule="auto"/>
        <w:ind w:firstLine="482" w:firstLineChars="200"/>
        <w:rPr>
          <w:rFonts w:ascii="宋体" w:hAnsi="宋体" w:eastAsia="宋体" w:cs="仿宋"/>
          <w:b/>
          <w:color w:val="auto"/>
          <w:sz w:val="24"/>
          <w:szCs w:val="24"/>
          <w:highlight w:val="none"/>
        </w:rPr>
      </w:pPr>
      <w:r>
        <w:rPr>
          <w:rFonts w:hint="eastAsia" w:ascii="宋体" w:hAnsi="宋体" w:eastAsia="宋体" w:cs="仿宋"/>
          <w:b/>
          <w:color w:val="auto"/>
          <w:sz w:val="24"/>
          <w:szCs w:val="24"/>
          <w:highlight w:val="none"/>
        </w:rPr>
        <w:t>1.3业绩情况（15分）</w:t>
      </w:r>
    </w:p>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自 2018年 5月1日（以合同签订日期为准）以来，申请人承担过建筑工程检测服务类似业绩（不含抽检、不含平行检测），项目规模在10万平方米以上的，有一个得5分，本项最高得15分。</w:t>
      </w:r>
    </w:p>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注：须同时提供合同（或审计机关出具的检测费结算核定单）。如合同上未体现项目规模，可提供业主证明或竣工验收证明等佐证材料。</w:t>
      </w:r>
    </w:p>
    <w:p>
      <w:pPr>
        <w:snapToGrid w:val="0"/>
        <w:spacing w:line="300" w:lineRule="auto"/>
        <w:ind w:firstLine="482" w:firstLineChars="200"/>
        <w:rPr>
          <w:rFonts w:ascii="宋体" w:hAnsi="宋体" w:eastAsia="宋体" w:cs="仿宋"/>
          <w:b/>
          <w:color w:val="auto"/>
          <w:sz w:val="24"/>
          <w:szCs w:val="24"/>
          <w:highlight w:val="none"/>
        </w:rPr>
      </w:pPr>
      <w:r>
        <w:rPr>
          <w:rFonts w:hint="eastAsia" w:ascii="宋体" w:hAnsi="宋体" w:eastAsia="宋体" w:cs="仿宋"/>
          <w:b/>
          <w:color w:val="auto"/>
          <w:sz w:val="24"/>
          <w:szCs w:val="24"/>
          <w:highlight w:val="none"/>
        </w:rPr>
        <w:t xml:space="preserve">1.4申请单位具备有效期内的中国合格评定国家认可委员会实验室认可证书的，得5分。 </w:t>
      </w:r>
    </w:p>
    <w:p>
      <w:pPr>
        <w:snapToGrid w:val="0"/>
        <w:spacing w:line="300" w:lineRule="auto"/>
        <w:ind w:firstLine="482" w:firstLineChars="200"/>
        <w:rPr>
          <w:rFonts w:ascii="宋体" w:hAnsi="宋体" w:eastAsia="宋体" w:cs="仿宋"/>
          <w:b/>
          <w:color w:val="auto"/>
          <w:sz w:val="24"/>
          <w:szCs w:val="24"/>
          <w:highlight w:val="none"/>
        </w:rPr>
      </w:pPr>
      <w:r>
        <w:rPr>
          <w:rFonts w:hint="eastAsia" w:ascii="宋体" w:hAnsi="宋体" w:eastAsia="宋体" w:cs="仿宋"/>
          <w:b/>
          <w:color w:val="auto"/>
          <w:sz w:val="24"/>
          <w:szCs w:val="24"/>
          <w:highlight w:val="none"/>
        </w:rPr>
        <w:t>2、申请报价（70分）</w:t>
      </w:r>
    </w:p>
    <w:p>
      <w:pPr>
        <w:snapToGrid w:val="0"/>
        <w:spacing w:line="300" w:lineRule="auto"/>
        <w:ind w:firstLine="482" w:firstLineChars="200"/>
        <w:rPr>
          <w:rFonts w:ascii="宋体" w:hAnsi="宋体" w:eastAsia="宋体" w:cs="仿宋"/>
          <w:b/>
          <w:color w:val="auto"/>
          <w:sz w:val="24"/>
          <w:szCs w:val="24"/>
          <w:highlight w:val="none"/>
        </w:rPr>
      </w:pPr>
      <w:r>
        <w:rPr>
          <w:rFonts w:hint="eastAsia" w:ascii="宋体" w:hAnsi="宋体" w:eastAsia="宋体" w:cs="仿宋"/>
          <w:b/>
          <w:color w:val="auto"/>
          <w:sz w:val="24"/>
          <w:szCs w:val="24"/>
          <w:highlight w:val="none"/>
        </w:rPr>
        <w:t>2.1固定费率报价3</w:t>
      </w:r>
      <w:r>
        <w:rPr>
          <w:rFonts w:hint="eastAsia" w:ascii="宋体" w:hAnsi="宋体" w:eastAsia="宋体" w:cs="仿宋"/>
          <w:b/>
          <w:color w:val="auto"/>
          <w:sz w:val="24"/>
          <w:szCs w:val="24"/>
          <w:highlight w:val="none"/>
          <w:lang w:val="en-US" w:eastAsia="zh-CN"/>
        </w:rPr>
        <w:t>5</w:t>
      </w:r>
      <w:r>
        <w:rPr>
          <w:rFonts w:hint="eastAsia" w:ascii="宋体" w:hAnsi="宋体" w:eastAsia="宋体" w:cs="仿宋"/>
          <w:b/>
          <w:color w:val="auto"/>
          <w:sz w:val="24"/>
          <w:szCs w:val="24"/>
          <w:highlight w:val="none"/>
        </w:rPr>
        <w:t>分</w:t>
      </w:r>
    </w:p>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①检测费报价以费率形式报价（折扣报率，为正值）；申请人的检测费用=收费限价×费率。</w:t>
      </w:r>
    </w:p>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②本项目征集人设定的检测费报价费率上限为</w:t>
      </w:r>
      <w:r>
        <w:rPr>
          <w:rFonts w:hint="eastAsia" w:ascii="宋体" w:hAnsi="宋体" w:eastAsia="宋体" w:cs="仿宋"/>
          <w:color w:val="auto"/>
          <w:sz w:val="24"/>
          <w:szCs w:val="24"/>
          <w:highlight w:val="none"/>
          <w:lang w:val="en-US" w:eastAsia="zh-CN"/>
        </w:rPr>
        <w:t>70</w:t>
      </w:r>
      <w:r>
        <w:rPr>
          <w:rFonts w:hint="eastAsia" w:ascii="宋体" w:hAnsi="宋体" w:eastAsia="宋体" w:cs="仿宋"/>
          <w:color w:val="auto"/>
          <w:sz w:val="24"/>
          <w:szCs w:val="24"/>
          <w:highlight w:val="none"/>
        </w:rPr>
        <w:t>%，高于</w:t>
      </w:r>
      <w:r>
        <w:rPr>
          <w:rFonts w:hint="eastAsia" w:ascii="宋体" w:hAnsi="宋体" w:eastAsia="宋体" w:cs="仿宋"/>
          <w:color w:val="auto"/>
          <w:sz w:val="24"/>
          <w:szCs w:val="24"/>
          <w:highlight w:val="none"/>
          <w:lang w:val="en-US" w:eastAsia="zh-CN"/>
        </w:rPr>
        <w:t>7</w:t>
      </w:r>
      <w:r>
        <w:rPr>
          <w:rFonts w:hint="eastAsia" w:ascii="宋体" w:hAnsi="宋体" w:eastAsia="宋体" w:cs="仿宋"/>
          <w:color w:val="auto"/>
          <w:sz w:val="24"/>
          <w:szCs w:val="24"/>
          <w:highlight w:val="none"/>
        </w:rPr>
        <w:t>0%的报价，征集人不接受，其申请作否决比选处理。</w:t>
      </w:r>
    </w:p>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③以有效报价中所报次低费率为评标基准费率，比选费率与评标基准费率相等的得30分。比选费率与评标基准费率相比，每上浮1%扣0.3分，每下浮1%扣0.2分（不足1%的，采用插入法，评分计算过程中的偏差率和分值计算结果均保留两位小数，第三位四舍五入）。</w:t>
      </w:r>
    </w:p>
    <w:p>
      <w:pPr>
        <w:snapToGrid w:val="0"/>
        <w:spacing w:line="300" w:lineRule="auto"/>
        <w:ind w:firstLine="482" w:firstLineChars="200"/>
        <w:rPr>
          <w:rFonts w:ascii="宋体" w:hAnsi="宋体" w:eastAsia="宋体" w:cs="仿宋"/>
          <w:b/>
          <w:color w:val="auto"/>
          <w:sz w:val="24"/>
          <w:szCs w:val="24"/>
          <w:highlight w:val="none"/>
        </w:rPr>
      </w:pPr>
      <w:r>
        <w:rPr>
          <w:rFonts w:hint="eastAsia" w:ascii="宋体" w:hAnsi="宋体" w:eastAsia="宋体" w:cs="仿宋"/>
          <w:b/>
          <w:color w:val="auto"/>
          <w:sz w:val="24"/>
          <w:szCs w:val="24"/>
          <w:highlight w:val="none"/>
        </w:rPr>
        <w:t>2.2单项目检测费收费报价（</w:t>
      </w:r>
      <w:r>
        <w:rPr>
          <w:rFonts w:hint="eastAsia" w:ascii="宋体" w:hAnsi="宋体" w:eastAsia="宋体" w:cs="仿宋"/>
          <w:b/>
          <w:color w:val="auto"/>
          <w:sz w:val="24"/>
          <w:szCs w:val="24"/>
          <w:highlight w:val="none"/>
          <w:lang w:val="en-US" w:eastAsia="zh-CN"/>
        </w:rPr>
        <w:t>35</w:t>
      </w:r>
      <w:r>
        <w:rPr>
          <w:rFonts w:hint="eastAsia" w:ascii="宋体" w:hAnsi="宋体" w:eastAsia="宋体" w:cs="仿宋"/>
          <w:b/>
          <w:color w:val="auto"/>
          <w:sz w:val="24"/>
          <w:szCs w:val="24"/>
          <w:highlight w:val="none"/>
        </w:rPr>
        <w:t>分）</w:t>
      </w:r>
    </w:p>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①本项目征集人设定的单项目</w:t>
      </w:r>
      <w:r>
        <w:rPr>
          <w:rFonts w:hint="eastAsia" w:ascii="宋体" w:hAnsi="宋体" w:eastAsia="宋体" w:cs="仿宋"/>
          <w:color w:val="auto"/>
          <w:sz w:val="24"/>
          <w:szCs w:val="24"/>
          <w:highlight w:val="none"/>
          <w:lang w:val="en-US" w:eastAsia="zh-CN"/>
        </w:rPr>
        <w:t>质量</w:t>
      </w:r>
      <w:r>
        <w:rPr>
          <w:rFonts w:hint="eastAsia" w:ascii="宋体" w:hAnsi="宋体" w:eastAsia="宋体" w:cs="仿宋"/>
          <w:color w:val="auto"/>
          <w:sz w:val="24"/>
          <w:szCs w:val="24"/>
          <w:highlight w:val="none"/>
        </w:rPr>
        <w:t>检测费收费限价为</w:t>
      </w:r>
      <w:r>
        <w:rPr>
          <w:rFonts w:hint="eastAsia" w:ascii="宋体" w:hAnsi="宋体" w:eastAsia="宋体" w:cs="仿宋"/>
          <w:color w:val="auto"/>
          <w:sz w:val="24"/>
          <w:szCs w:val="24"/>
          <w:highlight w:val="none"/>
          <w:lang w:val="en-US" w:eastAsia="zh-CN"/>
        </w:rPr>
        <w:t>9</w:t>
      </w:r>
      <w:r>
        <w:rPr>
          <w:rFonts w:hint="eastAsia" w:ascii="宋体" w:hAnsi="宋体" w:eastAsia="宋体" w:cs="仿宋"/>
          <w:color w:val="auto"/>
          <w:sz w:val="24"/>
          <w:szCs w:val="24"/>
          <w:highlight w:val="none"/>
        </w:rPr>
        <w:t>元/m2，高于</w:t>
      </w:r>
      <w:r>
        <w:rPr>
          <w:rFonts w:hint="eastAsia" w:ascii="宋体" w:hAnsi="宋体" w:eastAsia="宋体" w:cs="仿宋"/>
          <w:color w:val="auto"/>
          <w:sz w:val="24"/>
          <w:szCs w:val="24"/>
          <w:highlight w:val="none"/>
          <w:lang w:val="en-US" w:eastAsia="zh-CN"/>
        </w:rPr>
        <w:t>9</w:t>
      </w:r>
      <w:r>
        <w:rPr>
          <w:rFonts w:hint="eastAsia" w:ascii="宋体" w:hAnsi="宋体" w:eastAsia="宋体" w:cs="仿宋"/>
          <w:color w:val="auto"/>
          <w:sz w:val="24"/>
          <w:szCs w:val="24"/>
          <w:highlight w:val="none"/>
        </w:rPr>
        <w:t>元/m2的报价，征集人不接受，其申请作否决比选处理。</w:t>
      </w:r>
    </w:p>
    <w:p>
      <w:pPr>
        <w:snapToGrid w:val="0"/>
        <w:spacing w:line="300" w:lineRule="auto"/>
        <w:ind w:firstLine="480" w:firstLineChars="200"/>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以有效报价的次低价作为评标基准价，比选报价与评标基准价相等的得</w:t>
      </w:r>
      <w:r>
        <w:rPr>
          <w:rFonts w:hint="eastAsia" w:ascii="宋体" w:hAnsi="宋体" w:eastAsia="宋体" w:cs="仿宋"/>
          <w:color w:val="auto"/>
          <w:sz w:val="24"/>
          <w:szCs w:val="24"/>
          <w:highlight w:val="none"/>
          <w:lang w:val="en-US" w:eastAsia="zh-CN"/>
        </w:rPr>
        <w:t>20</w:t>
      </w:r>
      <w:r>
        <w:rPr>
          <w:rFonts w:hint="eastAsia" w:ascii="宋体" w:hAnsi="宋体" w:eastAsia="宋体" w:cs="仿宋"/>
          <w:color w:val="auto"/>
          <w:sz w:val="24"/>
          <w:szCs w:val="24"/>
          <w:highlight w:val="none"/>
        </w:rPr>
        <w:t>分。比选费率与评标基准费率相比，每上浮1%扣0.3分，每下浮1%扣0.2分（不足1%的，采用插入法，评分计算过程中的偏差率和分值计算结果均保留两位小数，第三位四舍五入）。</w:t>
      </w:r>
    </w:p>
    <w:p>
      <w:pPr>
        <w:snapToGrid w:val="0"/>
        <w:spacing w:line="300" w:lineRule="auto"/>
        <w:ind w:firstLine="480" w:firstLineChars="200"/>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lang w:val="en-US" w:eastAsia="zh-CN"/>
        </w:rPr>
        <w:t>②</w:t>
      </w:r>
      <w:r>
        <w:rPr>
          <w:rFonts w:hint="eastAsia" w:ascii="宋体" w:hAnsi="宋体" w:eastAsia="宋体" w:cs="仿宋"/>
          <w:color w:val="auto"/>
          <w:sz w:val="24"/>
          <w:szCs w:val="24"/>
          <w:highlight w:val="none"/>
        </w:rPr>
        <w:t>本项目征集人设定的单项目</w:t>
      </w:r>
      <w:r>
        <w:rPr>
          <w:rFonts w:hint="eastAsia" w:ascii="宋体" w:hAnsi="宋体" w:eastAsia="宋体" w:cs="仿宋"/>
          <w:color w:val="auto"/>
          <w:sz w:val="24"/>
          <w:szCs w:val="24"/>
          <w:highlight w:val="none"/>
          <w:lang w:val="en-US" w:eastAsia="zh-CN"/>
        </w:rPr>
        <w:t>桩基</w:t>
      </w:r>
      <w:r>
        <w:rPr>
          <w:rFonts w:hint="eastAsia" w:ascii="宋体" w:hAnsi="宋体" w:eastAsia="宋体" w:cs="仿宋"/>
          <w:color w:val="auto"/>
          <w:sz w:val="24"/>
          <w:szCs w:val="24"/>
          <w:highlight w:val="none"/>
        </w:rPr>
        <w:t>检测费收费限价为</w:t>
      </w:r>
      <w:r>
        <w:rPr>
          <w:rFonts w:hint="eastAsia" w:ascii="宋体" w:hAnsi="宋体" w:eastAsia="宋体" w:cs="仿宋"/>
          <w:color w:val="auto"/>
          <w:sz w:val="24"/>
          <w:szCs w:val="24"/>
          <w:highlight w:val="none"/>
          <w:lang w:val="en-US" w:eastAsia="zh-CN"/>
        </w:rPr>
        <w:t>5</w:t>
      </w:r>
      <w:r>
        <w:rPr>
          <w:rFonts w:hint="eastAsia" w:ascii="宋体" w:hAnsi="宋体" w:eastAsia="宋体" w:cs="仿宋"/>
          <w:color w:val="auto"/>
          <w:sz w:val="24"/>
          <w:szCs w:val="24"/>
          <w:highlight w:val="none"/>
        </w:rPr>
        <w:t>元/m2，高于</w:t>
      </w:r>
      <w:r>
        <w:rPr>
          <w:rFonts w:hint="eastAsia" w:ascii="宋体" w:hAnsi="宋体" w:eastAsia="宋体" w:cs="仿宋"/>
          <w:color w:val="auto"/>
          <w:sz w:val="24"/>
          <w:szCs w:val="24"/>
          <w:highlight w:val="none"/>
          <w:lang w:val="en-US" w:eastAsia="zh-CN"/>
        </w:rPr>
        <w:t>5</w:t>
      </w:r>
      <w:r>
        <w:rPr>
          <w:rFonts w:hint="eastAsia" w:ascii="宋体" w:hAnsi="宋体" w:eastAsia="宋体" w:cs="仿宋"/>
          <w:color w:val="auto"/>
          <w:sz w:val="24"/>
          <w:szCs w:val="24"/>
          <w:highlight w:val="none"/>
        </w:rPr>
        <w:t>元/m2的报价，征集人不接受，其申请作否决比选处理。</w:t>
      </w:r>
    </w:p>
    <w:p>
      <w:pPr>
        <w:snapToGrid w:val="0"/>
        <w:spacing w:line="300" w:lineRule="auto"/>
        <w:ind w:firstLine="480" w:firstLineChars="200"/>
      </w:pPr>
      <w:r>
        <w:rPr>
          <w:rFonts w:hint="eastAsia" w:ascii="宋体" w:hAnsi="宋体" w:eastAsia="宋体" w:cs="仿宋"/>
          <w:color w:val="auto"/>
          <w:sz w:val="24"/>
          <w:szCs w:val="24"/>
          <w:highlight w:val="none"/>
        </w:rPr>
        <w:t>以有效报价的次低价作为评标基准价，比选报价与评标基准价相等的得</w:t>
      </w:r>
      <w:r>
        <w:rPr>
          <w:rFonts w:hint="eastAsia" w:ascii="宋体" w:hAnsi="宋体" w:eastAsia="宋体" w:cs="仿宋"/>
          <w:color w:val="auto"/>
          <w:sz w:val="24"/>
          <w:szCs w:val="24"/>
          <w:highlight w:val="none"/>
          <w:lang w:val="en-US" w:eastAsia="zh-CN"/>
        </w:rPr>
        <w:t>15</w:t>
      </w:r>
      <w:r>
        <w:rPr>
          <w:rFonts w:hint="eastAsia" w:ascii="宋体" w:hAnsi="宋体" w:eastAsia="宋体" w:cs="仿宋"/>
          <w:color w:val="auto"/>
          <w:sz w:val="24"/>
          <w:szCs w:val="24"/>
          <w:highlight w:val="none"/>
        </w:rPr>
        <w:t>分。比选费率与评标基准费率相比，每上浮1%扣0.3分，每下浮1%扣0.2分（不足1%的，采用插入法，评分计算过程中的偏差率和分值计算结果均保留两位小数，第三位四舍五入）。</w:t>
      </w:r>
    </w:p>
    <w:p>
      <w:pPr>
        <w:snapToGrid w:val="0"/>
        <w:spacing w:line="300" w:lineRule="auto"/>
        <w:ind w:firstLine="482" w:firstLineChars="200"/>
        <w:rPr>
          <w:rFonts w:hint="default" w:ascii="宋体" w:hAnsi="宋体" w:eastAsia="宋体" w:cs="仿宋"/>
          <w:b/>
          <w:bCs/>
          <w:color w:val="auto"/>
          <w:sz w:val="24"/>
          <w:szCs w:val="24"/>
          <w:highlight w:val="none"/>
          <w:lang w:val="en-US" w:eastAsia="zh-CN"/>
        </w:rPr>
      </w:pPr>
      <w:r>
        <w:rPr>
          <w:rFonts w:hint="eastAsia" w:ascii="宋体" w:hAnsi="宋体" w:eastAsia="宋体" w:cs="仿宋"/>
          <w:b/>
          <w:bCs/>
          <w:color w:val="auto"/>
          <w:sz w:val="24"/>
          <w:szCs w:val="24"/>
          <w:highlight w:val="none"/>
        </w:rPr>
        <w:t>5.3申请报价得分=固定费率报价得分+单项目检测费收费报价得分</w:t>
      </w:r>
      <w:r>
        <w:rPr>
          <w:rFonts w:hint="eastAsia" w:ascii="宋体" w:hAnsi="宋体" w:eastAsia="宋体" w:cs="仿宋"/>
          <w:b/>
          <w:bCs/>
          <w:color w:val="auto"/>
          <w:sz w:val="24"/>
          <w:szCs w:val="24"/>
          <w:highlight w:val="none"/>
          <w:lang w:eastAsia="zh-CN"/>
        </w:rPr>
        <w:t>（</w:t>
      </w:r>
      <w:r>
        <w:rPr>
          <w:rFonts w:hint="eastAsia" w:ascii="宋体" w:hAnsi="宋体" w:eastAsia="宋体" w:cs="仿宋"/>
          <w:b/>
          <w:bCs/>
          <w:color w:val="auto"/>
          <w:sz w:val="24"/>
          <w:szCs w:val="24"/>
          <w:highlight w:val="none"/>
          <w:lang w:val="en-US" w:eastAsia="zh-CN"/>
        </w:rPr>
        <w:t>质量检测得分+桩基检测得分）</w:t>
      </w:r>
    </w:p>
    <w:p>
      <w:pPr>
        <w:snapToGrid w:val="0"/>
        <w:spacing w:line="300" w:lineRule="auto"/>
        <w:ind w:firstLine="570"/>
        <w:rPr>
          <w:rFonts w:ascii="宋体" w:hAnsi="宋体" w:eastAsia="宋体" w:cs="仿宋"/>
          <w:b/>
          <w:color w:val="auto"/>
          <w:sz w:val="24"/>
          <w:szCs w:val="24"/>
          <w:highlight w:val="none"/>
        </w:rPr>
      </w:pPr>
      <w:r>
        <w:rPr>
          <w:rFonts w:hint="eastAsia" w:ascii="宋体" w:hAnsi="宋体" w:eastAsia="宋体" w:cs="仿宋"/>
          <w:b/>
          <w:color w:val="auto"/>
          <w:sz w:val="24"/>
          <w:szCs w:val="24"/>
          <w:highlight w:val="none"/>
        </w:rPr>
        <w:t>五、入选人的确定</w:t>
      </w:r>
    </w:p>
    <w:p>
      <w:pPr>
        <w:snapToGrid w:val="0"/>
        <w:spacing w:line="300" w:lineRule="auto"/>
        <w:ind w:firstLine="57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评标委员会汇总各评委评分后，按最后得分</w:t>
      </w:r>
      <w:r>
        <w:rPr>
          <w:rFonts w:hint="eastAsia" w:ascii="宋体" w:hAnsi="宋体" w:eastAsia="宋体" w:cs="仿宋"/>
          <w:b/>
          <w:bCs/>
          <w:color w:val="auto"/>
          <w:sz w:val="24"/>
          <w:szCs w:val="24"/>
          <w:highlight w:val="none"/>
        </w:rPr>
        <w:t>由高到低排名（若出现得分相同的，则由评标委员会抽签决定排名）</w:t>
      </w:r>
      <w:r>
        <w:rPr>
          <w:rFonts w:hint="eastAsia" w:ascii="宋体" w:hAnsi="宋体" w:eastAsia="宋体" w:cs="仿宋"/>
          <w:color w:val="auto"/>
          <w:sz w:val="24"/>
          <w:szCs w:val="24"/>
          <w:highlight w:val="none"/>
        </w:rPr>
        <w:t>，最终推荐排名第一的申请人为入选人。</w:t>
      </w:r>
    </w:p>
    <w:p>
      <w:pPr>
        <w:snapToGrid w:val="0"/>
        <w:spacing w:line="300" w:lineRule="auto"/>
        <w:ind w:firstLine="570"/>
        <w:jc w:val="left"/>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1、在比选、开标期间，申请人不得向评委询问情况，不得进行旨在影响评标结果的活动。</w:t>
      </w:r>
    </w:p>
    <w:p>
      <w:pPr>
        <w:snapToGrid w:val="0"/>
        <w:spacing w:line="300" w:lineRule="auto"/>
        <w:ind w:firstLine="57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2、评委会不得向申请人解释落标原因。</w:t>
      </w:r>
    </w:p>
    <w:p>
      <w:pPr>
        <w:snapToGrid w:val="0"/>
        <w:spacing w:line="300" w:lineRule="auto"/>
        <w:ind w:firstLine="57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3、凡在比选、开标过程中，征集人已提示是否异议的事项，申请人当时没有提出异议的，事后申请人不得针对上述事项提出质疑。</w:t>
      </w:r>
    </w:p>
    <w:p>
      <w:pPr>
        <w:snapToGrid w:val="0"/>
        <w:spacing w:line="300" w:lineRule="auto"/>
        <w:ind w:firstLine="570"/>
        <w:rPr>
          <w:rFonts w:ascii="宋体" w:hAnsi="宋体" w:eastAsia="宋体" w:cs="仿宋"/>
          <w:b/>
          <w:bCs/>
          <w:color w:val="auto"/>
          <w:sz w:val="24"/>
          <w:szCs w:val="24"/>
          <w:highlight w:val="none"/>
        </w:rPr>
      </w:pPr>
      <w:r>
        <w:rPr>
          <w:rFonts w:hint="eastAsia" w:ascii="宋体" w:hAnsi="宋体" w:eastAsia="宋体" w:cs="仿宋"/>
          <w:b/>
          <w:bCs/>
          <w:color w:val="auto"/>
          <w:sz w:val="24"/>
          <w:szCs w:val="24"/>
          <w:highlight w:val="none"/>
        </w:rPr>
        <w:t>六、入选价格确定</w:t>
      </w:r>
    </w:p>
    <w:p>
      <w:pPr>
        <w:snapToGrid w:val="0"/>
        <w:spacing w:line="300" w:lineRule="auto"/>
        <w:ind w:firstLine="570"/>
        <w:rPr>
          <w:rFonts w:hint="eastAsia" w:ascii="宋体" w:hAnsi="宋体" w:eastAsia="宋体" w:cs="仿宋"/>
          <w:b/>
          <w:color w:val="auto"/>
          <w:sz w:val="24"/>
          <w:szCs w:val="24"/>
          <w:highlight w:val="none"/>
        </w:rPr>
      </w:pPr>
      <w:bookmarkStart w:id="8" w:name="_Hlk118471438"/>
      <w:r>
        <w:rPr>
          <w:rFonts w:hint="eastAsia" w:ascii="宋体" w:hAnsi="宋体" w:eastAsia="宋体" w:cs="仿宋"/>
          <w:b/>
          <w:color w:val="auto"/>
          <w:sz w:val="24"/>
          <w:szCs w:val="24"/>
          <w:highlight w:val="none"/>
        </w:rPr>
        <w:t>1、入选价格的确定：入选价格为申请人递交的申请报价，如在年度合作期间征集人发现因市场波动等原因导致在相同区域的其它项目检测费用低于入选价格</w:t>
      </w:r>
      <w:r>
        <w:rPr>
          <w:rFonts w:hint="eastAsia" w:ascii="宋体" w:hAnsi="宋体" w:eastAsia="宋体" w:cs="仿宋"/>
          <w:b/>
          <w:color w:val="auto"/>
          <w:sz w:val="24"/>
          <w:szCs w:val="24"/>
          <w:highlight w:val="none"/>
          <w:lang w:val="en-US" w:eastAsia="zh-CN"/>
        </w:rPr>
        <w:t>*90%</w:t>
      </w:r>
      <w:r>
        <w:rPr>
          <w:rFonts w:hint="eastAsia" w:ascii="宋体" w:hAnsi="宋体" w:eastAsia="宋体" w:cs="仿宋"/>
          <w:b/>
          <w:color w:val="auto"/>
          <w:sz w:val="24"/>
          <w:szCs w:val="24"/>
          <w:highlight w:val="none"/>
        </w:rPr>
        <w:t>的情形，征集人有权随时终止合作协议，并另行委托检测服务，由此引起的损失由入选人自行承担。</w:t>
      </w:r>
    </w:p>
    <w:p>
      <w:pPr>
        <w:snapToGrid w:val="0"/>
        <w:spacing w:line="300" w:lineRule="auto"/>
        <w:ind w:firstLine="570"/>
        <w:rPr>
          <w:rFonts w:hint="eastAsia" w:ascii="宋体" w:hAnsi="宋体" w:eastAsia="宋体" w:cs="仿宋"/>
          <w:b/>
          <w:color w:val="auto"/>
          <w:sz w:val="24"/>
          <w:szCs w:val="24"/>
          <w:highlight w:val="none"/>
        </w:rPr>
      </w:pPr>
      <w:r>
        <w:rPr>
          <w:rFonts w:hint="eastAsia" w:ascii="宋体" w:hAnsi="宋体" w:eastAsia="宋体" w:cs="仿宋"/>
          <w:b/>
          <w:color w:val="auto"/>
          <w:sz w:val="24"/>
          <w:szCs w:val="24"/>
          <w:highlight w:val="none"/>
        </w:rPr>
        <w:t>2、入选价格的结算：如征集人按单项检测类别委托检测的，其结算方式按申请人递交的费率并结合有关收费标准按实结算检测费用</w:t>
      </w:r>
      <w:r>
        <w:rPr>
          <w:rFonts w:hint="eastAsia" w:ascii="宋体" w:hAnsi="宋体" w:eastAsia="宋体" w:cs="仿宋"/>
          <w:b/>
          <w:color w:val="auto"/>
          <w:sz w:val="24"/>
          <w:szCs w:val="24"/>
          <w:highlight w:val="none"/>
          <w:lang w:eastAsia="zh-CN"/>
        </w:rPr>
        <w:t>（</w:t>
      </w:r>
      <w:r>
        <w:rPr>
          <w:rFonts w:hint="eastAsia" w:ascii="宋体" w:hAnsi="宋体" w:eastAsia="宋体" w:cs="仿宋"/>
          <w:b/>
          <w:color w:val="auto"/>
          <w:sz w:val="24"/>
          <w:szCs w:val="24"/>
          <w:highlight w:val="none"/>
          <w:lang w:val="en-US" w:eastAsia="zh-CN"/>
        </w:rPr>
        <w:t>报价一）</w:t>
      </w:r>
      <w:r>
        <w:rPr>
          <w:rFonts w:hint="eastAsia" w:ascii="宋体" w:hAnsi="宋体" w:eastAsia="宋体" w:cs="仿宋"/>
          <w:b/>
          <w:color w:val="auto"/>
          <w:sz w:val="24"/>
          <w:szCs w:val="24"/>
          <w:highlight w:val="none"/>
        </w:rPr>
        <w:t>；如征集人按项目整体委托检测的，征集人可按入选人单方费用进行结算</w:t>
      </w:r>
      <w:r>
        <w:rPr>
          <w:rFonts w:hint="eastAsia" w:ascii="宋体" w:hAnsi="宋体" w:eastAsia="宋体" w:cs="仿宋"/>
          <w:b/>
          <w:color w:val="auto"/>
          <w:sz w:val="24"/>
          <w:szCs w:val="24"/>
          <w:highlight w:val="none"/>
          <w:lang w:eastAsia="zh-CN"/>
        </w:rPr>
        <w:t>（</w:t>
      </w:r>
      <w:r>
        <w:rPr>
          <w:rFonts w:hint="eastAsia" w:ascii="宋体" w:hAnsi="宋体" w:eastAsia="宋体" w:cs="仿宋"/>
          <w:b/>
          <w:color w:val="auto"/>
          <w:sz w:val="24"/>
          <w:szCs w:val="24"/>
          <w:highlight w:val="none"/>
          <w:lang w:val="en-US" w:eastAsia="zh-CN"/>
        </w:rPr>
        <w:t>报价二）</w:t>
      </w:r>
      <w:r>
        <w:rPr>
          <w:rFonts w:hint="eastAsia" w:ascii="宋体" w:hAnsi="宋体" w:eastAsia="宋体" w:cs="仿宋"/>
          <w:b/>
          <w:color w:val="auto"/>
          <w:sz w:val="24"/>
          <w:szCs w:val="24"/>
          <w:highlight w:val="none"/>
        </w:rPr>
        <w:t>；以上两种工程检测费用结算方式，征集人有权按项目实际情况，选择工程检测费用相对较少的任一方式进行结算，入选人不得提出任何异议。</w:t>
      </w:r>
    </w:p>
    <w:bookmarkEnd w:id="8"/>
    <w:p>
      <w:pPr>
        <w:snapToGrid w:val="0"/>
        <w:spacing w:line="300" w:lineRule="auto"/>
        <w:ind w:firstLine="570"/>
        <w:rPr>
          <w:rFonts w:ascii="宋体" w:hAnsi="宋体" w:eastAsia="宋体" w:cs="仿宋"/>
          <w:b/>
          <w:bCs/>
          <w:color w:val="auto"/>
          <w:sz w:val="24"/>
          <w:szCs w:val="24"/>
          <w:highlight w:val="none"/>
        </w:rPr>
      </w:pPr>
      <w:r>
        <w:rPr>
          <w:rFonts w:hint="eastAsia" w:ascii="宋体" w:hAnsi="宋体" w:eastAsia="宋体" w:cs="仿宋"/>
          <w:b/>
          <w:color w:val="auto"/>
          <w:sz w:val="24"/>
          <w:szCs w:val="24"/>
          <w:highlight w:val="none"/>
        </w:rPr>
        <w:t>七、入选通知</w:t>
      </w:r>
    </w:p>
    <w:p>
      <w:pPr>
        <w:snapToGrid w:val="0"/>
        <w:spacing w:line="300" w:lineRule="auto"/>
        <w:ind w:firstLine="57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入选结果在南通沿海开发集团有限公司官网公告，公告期限为3个工作日。《入选通知书》一经发出，如征集人改变入选结果，或者入选人放弃入选资格的，各自承担相应的法律责任。《入选通知书》是合同的组成部分。</w:t>
      </w: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pStyle w:val="14"/>
      </w:pPr>
    </w:p>
    <w:p>
      <w:pPr>
        <w:pStyle w:val="14"/>
        <w:ind w:firstLine="210"/>
        <w:rPr>
          <w:color w:val="auto"/>
          <w:highlight w:val="none"/>
        </w:rPr>
      </w:pPr>
    </w:p>
    <w:p>
      <w:pPr>
        <w:pStyle w:val="14"/>
        <w:ind w:firstLine="210"/>
        <w:rPr>
          <w:color w:val="auto"/>
          <w:highlight w:val="none"/>
        </w:rPr>
      </w:pPr>
    </w:p>
    <w:p>
      <w:pPr>
        <w:spacing w:line="360" w:lineRule="auto"/>
        <w:rPr>
          <w:rFonts w:ascii="宋体" w:hAnsi="宋体" w:eastAsia="宋体"/>
          <w:color w:val="auto"/>
          <w:sz w:val="24"/>
          <w:szCs w:val="24"/>
          <w:highlight w:val="none"/>
        </w:rPr>
      </w:pP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附件</w:t>
      </w:r>
    </w:p>
    <w:p>
      <w:pPr>
        <w:widowControl/>
        <w:spacing w:line="200" w:lineRule="exact"/>
        <w:jc w:val="left"/>
        <w:rPr>
          <w:rFonts w:ascii="Times New Roman" w:hAnsi="Times New Roman" w:eastAsia="宋体" w:cs="Times New Roman"/>
          <w:color w:val="auto"/>
          <w:kern w:val="0"/>
          <w:sz w:val="24"/>
          <w:szCs w:val="24"/>
          <w:highlight w:val="none"/>
        </w:rPr>
      </w:pPr>
    </w:p>
    <w:p>
      <w:pPr>
        <w:jc w:val="center"/>
        <w:rPr>
          <w:rFonts w:ascii="宋体" w:hAnsi="宋体" w:eastAsia="宋体" w:cs="宋体"/>
          <w:b/>
          <w:bCs/>
          <w:color w:val="auto"/>
          <w:sz w:val="32"/>
          <w:szCs w:val="32"/>
          <w:highlight w:val="none"/>
        </w:rPr>
      </w:pPr>
      <w:bookmarkStart w:id="9" w:name="_Toc263682549"/>
      <w:bookmarkStart w:id="10" w:name="_Toc263685980"/>
      <w:bookmarkStart w:id="11" w:name="_Toc263757451"/>
      <w:r>
        <w:rPr>
          <w:rFonts w:hint="eastAsia" w:ascii="宋体" w:hAnsi="宋体" w:eastAsia="宋体" w:cs="宋体"/>
          <w:b/>
          <w:bCs/>
          <w:color w:val="auto"/>
          <w:sz w:val="32"/>
          <w:szCs w:val="32"/>
          <w:highlight w:val="none"/>
        </w:rPr>
        <w:t>法定代表人身份证明</w:t>
      </w:r>
    </w:p>
    <w:p>
      <w:pPr>
        <w:widowControl/>
        <w:ind w:firstLine="420"/>
        <w:jc w:val="left"/>
        <w:rPr>
          <w:rFonts w:ascii="宋体" w:hAnsi="宋体" w:eastAsia="宋体" w:cs="宋体"/>
          <w:b/>
          <w:bCs/>
          <w:color w:val="auto"/>
          <w:sz w:val="24"/>
          <w:szCs w:val="24"/>
          <w:highlight w:val="none"/>
        </w:rPr>
      </w:pPr>
    </w:p>
    <w:p>
      <w:pPr>
        <w:widowControl/>
        <w:ind w:firstLine="420"/>
        <w:jc w:val="left"/>
        <w:rPr>
          <w:rFonts w:ascii="宋体" w:hAnsi="宋体" w:eastAsia="宋体" w:cs="宋体"/>
          <w:b/>
          <w:bCs/>
          <w:color w:val="auto"/>
          <w:sz w:val="24"/>
          <w:szCs w:val="24"/>
          <w:highlight w:val="none"/>
        </w:rPr>
      </w:pPr>
    </w:p>
    <w:p>
      <w:pPr>
        <w:widowControl/>
        <w:ind w:firstLine="420"/>
        <w:jc w:val="left"/>
        <w:rPr>
          <w:rFonts w:ascii="宋体" w:hAnsi="宋体" w:eastAsia="宋体" w:cs="宋体"/>
          <w:b/>
          <w:bCs/>
          <w:color w:val="auto"/>
          <w:sz w:val="24"/>
          <w:szCs w:val="24"/>
          <w:highlight w:val="none"/>
        </w:rPr>
      </w:pPr>
    </w:p>
    <w:p>
      <w:pPr>
        <w:widowControl/>
        <w:ind w:firstLine="420"/>
        <w:jc w:val="left"/>
        <w:rPr>
          <w:rFonts w:ascii="宋体" w:hAnsi="宋体" w:eastAsia="宋体" w:cs="宋体"/>
          <w:b/>
          <w:bCs/>
          <w:color w:val="auto"/>
          <w:sz w:val="24"/>
          <w:szCs w:val="24"/>
          <w:highlight w:val="none"/>
        </w:rPr>
      </w:pPr>
    </w:p>
    <w:bookmarkEnd w:id="9"/>
    <w:bookmarkEnd w:id="10"/>
    <w:bookmarkEnd w:id="11"/>
    <w:p>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性   别：</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  龄：</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的法定代表人。为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项目，签署上述申请文件、进行合同谈判、签署合同和处理与之有关的一切事务。</w:t>
      </w:r>
    </w:p>
    <w:p>
      <w:pPr>
        <w:spacing w:line="440" w:lineRule="exact"/>
        <w:ind w:firstLine="480" w:firstLineChars="200"/>
        <w:rPr>
          <w:rFonts w:ascii="宋体" w:hAnsi="宋体" w:eastAsia="宋体" w:cs="宋体"/>
          <w:color w:val="auto"/>
          <w:sz w:val="24"/>
          <w:szCs w:val="24"/>
          <w:highlight w:val="none"/>
        </w:rPr>
      </w:pPr>
    </w:p>
    <w:p>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spacing w:line="440" w:lineRule="exact"/>
        <w:ind w:firstLine="480" w:firstLineChars="200"/>
        <w:rPr>
          <w:rFonts w:ascii="宋体" w:hAnsi="宋体" w:eastAsia="宋体" w:cs="宋体"/>
          <w:color w:val="auto"/>
          <w:sz w:val="24"/>
          <w:szCs w:val="24"/>
          <w:highlight w:val="none"/>
        </w:rPr>
      </w:pPr>
    </w:p>
    <w:p>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申请单位：</w:t>
      </w:r>
      <w:r>
        <w:rPr>
          <w:rFonts w:hint="eastAsia" w:ascii="宋体" w:hAnsi="宋体" w:eastAsia="宋体" w:cs="宋体"/>
          <w:color w:val="auto"/>
          <w:sz w:val="24"/>
          <w:szCs w:val="24"/>
          <w:highlight w:val="none"/>
          <w:u w:val="single"/>
        </w:rPr>
        <w:t>（盖章）</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pPr>
        <w:spacing w:line="440" w:lineRule="exact"/>
        <w:ind w:firstLine="480" w:firstLineChars="200"/>
        <w:rPr>
          <w:rFonts w:ascii="宋体" w:hAnsi="宋体" w:eastAsia="宋体" w:cs="宋体"/>
          <w:color w:val="auto"/>
          <w:sz w:val="24"/>
          <w:szCs w:val="24"/>
          <w:highlight w:val="none"/>
        </w:rPr>
      </w:pPr>
    </w:p>
    <w:p>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p>
    <w:p>
      <w:pPr>
        <w:spacing w:line="440" w:lineRule="exact"/>
        <w:ind w:firstLine="570"/>
        <w:rPr>
          <w:rFonts w:ascii="宋体" w:hAnsi="宋体" w:eastAsia="宋体" w:cs="宋体"/>
          <w:color w:val="auto"/>
          <w:sz w:val="24"/>
          <w:szCs w:val="24"/>
          <w:highlight w:val="none"/>
        </w:rPr>
      </w:pPr>
    </w:p>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w:t>
      </w:r>
    </w:p>
    <w:p>
      <w:pPr>
        <w:spacing w:line="360" w:lineRule="auto"/>
        <w:jc w:val="center"/>
        <w:rPr>
          <w:rFonts w:ascii="宋体" w:hAnsi="宋体" w:eastAsia="宋体" w:cs="宋体"/>
          <w:color w:val="auto"/>
          <w:sz w:val="24"/>
          <w:szCs w:val="24"/>
          <w:highlight w:val="none"/>
        </w:rPr>
      </w:pPr>
    </w:p>
    <w:p>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pPr>
        <w:spacing w:line="360" w:lineRule="auto"/>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法定代表人（主要负责人）授权委托书</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委托人（单位）：</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委托人（单位）地址：</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法定代表人（主要负责人）：        　    职务：        电话：</w:t>
      </w: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受委托人：                       电话：</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工作单位：                       职务：        </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p>
      <w:pPr>
        <w:spacing w:line="360" w:lineRule="auto"/>
        <w:ind w:firstLine="480" w:firstLineChars="200"/>
        <w:rPr>
          <w:rFonts w:ascii="宋体" w:hAnsi="宋体" w:eastAsia="宋体" w:cs="宋体"/>
          <w:color w:val="auto"/>
          <w:sz w:val="24"/>
          <w:szCs w:val="24"/>
          <w:highlight w:val="none"/>
        </w:rPr>
      </w:pP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现委托上列受委托人在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组织的</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 xml:space="preserve">征集采购中，作为我方的合法代理人，代理以下事项：  </w:t>
      </w:r>
    </w:p>
    <w:p>
      <w:pPr>
        <w:tabs>
          <w:tab w:val="left" w:pos="525"/>
        </w:tabs>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(1)代理委托人签署、提交申请文件以及其它相关资料；</w:t>
      </w:r>
    </w:p>
    <w:p>
      <w:pPr>
        <w:tabs>
          <w:tab w:val="left" w:pos="525"/>
        </w:tabs>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(2)参加比选，接受质询并予以澄清；</w:t>
      </w:r>
    </w:p>
    <w:p>
      <w:pPr>
        <w:tabs>
          <w:tab w:val="left" w:pos="525"/>
        </w:tabs>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(3)签署、接受比选过程中的各种法律文件；</w:t>
      </w:r>
    </w:p>
    <w:p>
      <w:pPr>
        <w:tabs>
          <w:tab w:val="left" w:pos="525"/>
        </w:tabs>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(4)办理比选过程中的其他事务。</w:t>
      </w:r>
    </w:p>
    <w:p>
      <w:pPr>
        <w:tabs>
          <w:tab w:val="left" w:pos="525"/>
        </w:tabs>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(5)代理人无权转委托，特此声明。</w:t>
      </w:r>
    </w:p>
    <w:p>
      <w:pPr>
        <w:spacing w:line="400" w:lineRule="atLeast"/>
        <w:ind w:left="380" w:leftChars="181"/>
        <w:rPr>
          <w:rFonts w:ascii="宋体" w:hAnsi="宋体" w:eastAsia="宋体" w:cs="宋体"/>
          <w:color w:val="auto"/>
          <w:sz w:val="24"/>
          <w:szCs w:val="24"/>
          <w:highlight w:val="none"/>
        </w:rPr>
      </w:pPr>
    </w:p>
    <w:p>
      <w:pPr>
        <w:spacing w:line="400" w:lineRule="atLeast"/>
        <w:rPr>
          <w:rFonts w:ascii="宋体" w:hAnsi="宋体" w:eastAsia="宋体" w:cs="宋体"/>
          <w:color w:val="auto"/>
          <w:sz w:val="24"/>
          <w:szCs w:val="24"/>
          <w:highlight w:val="none"/>
        </w:rPr>
      </w:pPr>
    </w:p>
    <w:p>
      <w:pPr>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附：被授权人身份证复印件</w:t>
      </w:r>
    </w:p>
    <w:p>
      <w:pPr>
        <w:kinsoku w:val="0"/>
        <w:topLinePunct/>
        <w:autoSpaceDE w:val="0"/>
        <w:autoSpaceDN w:val="0"/>
        <w:adjustRightInd w:val="0"/>
        <w:snapToGrid w:val="0"/>
        <w:spacing w:line="360" w:lineRule="auto"/>
        <w:ind w:left="705" w:right="210"/>
        <w:textAlignment w:val="baseline"/>
        <w:rPr>
          <w:rFonts w:ascii="宋体" w:hAnsi="宋体" w:eastAsia="宋体" w:cs="宋体"/>
          <w:color w:val="auto"/>
          <w:kern w:val="0"/>
          <w:sz w:val="24"/>
          <w:szCs w:val="24"/>
          <w:highlight w:val="none"/>
        </w:rPr>
      </w:pPr>
    </w:p>
    <w:p>
      <w:pPr>
        <w:tabs>
          <w:tab w:val="left" w:pos="945"/>
        </w:tabs>
        <w:adjustRightInd w:val="0"/>
        <w:snapToGrid w:val="0"/>
        <w:spacing w:line="360" w:lineRule="auto"/>
        <w:ind w:left="420" w:firstLine="4320" w:firstLineChars="18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pPr>
        <w:tabs>
          <w:tab w:val="left" w:pos="945"/>
        </w:tabs>
        <w:adjustRightInd w:val="0"/>
        <w:snapToGrid w:val="0"/>
        <w:spacing w:line="360" w:lineRule="auto"/>
        <w:ind w:left="420" w:firstLine="4320" w:firstLineChars="18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申请人公章：</w:t>
      </w:r>
    </w:p>
    <w:p>
      <w:pPr>
        <w:adjustRightInd w:val="0"/>
        <w:snapToGrid w:val="0"/>
        <w:spacing w:line="360" w:lineRule="auto"/>
        <w:ind w:right="840" w:firstLine="4776" w:firstLineChars="199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s="宋体"/>
          <w:color w:val="auto"/>
          <w:sz w:val="24"/>
          <w:szCs w:val="24"/>
          <w:highlight w:val="none"/>
        </w:rPr>
        <w:br w:type="page"/>
      </w:r>
    </w:p>
    <w:p>
      <w:pPr>
        <w:snapToGrid w:val="0"/>
        <w:jc w:val="center"/>
        <w:rPr>
          <w:rFonts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申请人基本情况一览表</w:t>
      </w:r>
    </w:p>
    <w:tbl>
      <w:tblPr>
        <w:tblStyle w:val="16"/>
        <w:tblW w:w="8731" w:type="dxa"/>
        <w:jc w:val="center"/>
        <w:tblLayout w:type="autofit"/>
        <w:tblCellMar>
          <w:top w:w="0" w:type="dxa"/>
          <w:left w:w="0" w:type="dxa"/>
          <w:bottom w:w="0" w:type="dxa"/>
          <w:right w:w="0" w:type="dxa"/>
        </w:tblCellMar>
      </w:tblPr>
      <w:tblGrid>
        <w:gridCol w:w="1367"/>
        <w:gridCol w:w="3768"/>
        <w:gridCol w:w="1618"/>
        <w:gridCol w:w="1978"/>
      </w:tblGrid>
      <w:tr>
        <w:tblPrEx>
          <w:tblCellMar>
            <w:top w:w="0" w:type="dxa"/>
            <w:left w:w="0" w:type="dxa"/>
            <w:bottom w:w="0" w:type="dxa"/>
            <w:right w:w="0" w:type="dxa"/>
          </w:tblCellMar>
        </w:tblPrEx>
        <w:trPr>
          <w:trHeight w:val="986" w:hRule="atLeast"/>
          <w:jc w:val="center"/>
        </w:trPr>
        <w:tc>
          <w:tcPr>
            <w:tcW w:w="1367"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企业名称</w:t>
            </w:r>
          </w:p>
        </w:tc>
        <w:tc>
          <w:tcPr>
            <w:tcW w:w="3768"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p>
        </w:tc>
        <w:tc>
          <w:tcPr>
            <w:tcW w:w="1618"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联系电话</w:t>
            </w:r>
          </w:p>
        </w:tc>
        <w:tc>
          <w:tcPr>
            <w:tcW w:w="1978"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p>
        </w:tc>
      </w:tr>
      <w:tr>
        <w:tblPrEx>
          <w:tblCellMar>
            <w:top w:w="0" w:type="dxa"/>
            <w:left w:w="0" w:type="dxa"/>
            <w:bottom w:w="0" w:type="dxa"/>
            <w:right w:w="0" w:type="dxa"/>
          </w:tblCellMar>
        </w:tblPrEx>
        <w:trPr>
          <w:trHeight w:val="986" w:hRule="atLeast"/>
          <w:jc w:val="center"/>
        </w:trPr>
        <w:tc>
          <w:tcPr>
            <w:tcW w:w="136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营业执照</w:t>
            </w:r>
          </w:p>
          <w:p>
            <w:pPr>
              <w:adjustRightInd w:val="0"/>
              <w:snapToGrid w:val="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注册号</w:t>
            </w:r>
          </w:p>
        </w:tc>
        <w:tc>
          <w:tcPr>
            <w:tcW w:w="376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p>
        </w:tc>
        <w:tc>
          <w:tcPr>
            <w:tcW w:w="161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企业法人</w:t>
            </w:r>
          </w:p>
          <w:p>
            <w:pPr>
              <w:adjustRightInd w:val="0"/>
              <w:snapToGrid w:val="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代码</w:t>
            </w:r>
          </w:p>
        </w:tc>
        <w:tc>
          <w:tcPr>
            <w:tcW w:w="197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p>
        </w:tc>
      </w:tr>
      <w:tr>
        <w:tblPrEx>
          <w:tblCellMar>
            <w:top w:w="0" w:type="dxa"/>
            <w:left w:w="0" w:type="dxa"/>
            <w:bottom w:w="0" w:type="dxa"/>
            <w:right w:w="0" w:type="dxa"/>
          </w:tblCellMar>
        </w:tblPrEx>
        <w:trPr>
          <w:trHeight w:val="999" w:hRule="atLeast"/>
          <w:jc w:val="center"/>
        </w:trPr>
        <w:tc>
          <w:tcPr>
            <w:tcW w:w="136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企业资质</w:t>
            </w:r>
          </w:p>
          <w:p>
            <w:pPr>
              <w:adjustRightInd w:val="0"/>
              <w:snapToGrid w:val="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类别</w:t>
            </w:r>
          </w:p>
        </w:tc>
        <w:tc>
          <w:tcPr>
            <w:tcW w:w="376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p>
        </w:tc>
        <w:tc>
          <w:tcPr>
            <w:tcW w:w="161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资质等级</w:t>
            </w:r>
          </w:p>
        </w:tc>
        <w:tc>
          <w:tcPr>
            <w:tcW w:w="197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p>
        </w:tc>
      </w:tr>
      <w:tr>
        <w:tblPrEx>
          <w:tblCellMar>
            <w:top w:w="0" w:type="dxa"/>
            <w:left w:w="0" w:type="dxa"/>
            <w:bottom w:w="0" w:type="dxa"/>
            <w:right w:w="0" w:type="dxa"/>
          </w:tblCellMar>
        </w:tblPrEx>
        <w:trPr>
          <w:trHeight w:val="703" w:hRule="atLeast"/>
          <w:jc w:val="center"/>
        </w:trPr>
        <w:tc>
          <w:tcPr>
            <w:tcW w:w="136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注册资金</w:t>
            </w:r>
          </w:p>
        </w:tc>
        <w:tc>
          <w:tcPr>
            <w:tcW w:w="7364"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万元（以营业执照为准）</w:t>
            </w:r>
          </w:p>
        </w:tc>
      </w:tr>
      <w:tr>
        <w:tblPrEx>
          <w:tblCellMar>
            <w:top w:w="0" w:type="dxa"/>
            <w:left w:w="0" w:type="dxa"/>
            <w:bottom w:w="0" w:type="dxa"/>
            <w:right w:w="0" w:type="dxa"/>
          </w:tblCellMar>
        </w:tblPrEx>
        <w:trPr>
          <w:trHeight w:val="684" w:hRule="atLeast"/>
          <w:jc w:val="center"/>
        </w:trPr>
        <w:tc>
          <w:tcPr>
            <w:tcW w:w="136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基本账户</w:t>
            </w:r>
          </w:p>
        </w:tc>
        <w:tc>
          <w:tcPr>
            <w:tcW w:w="7364"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p>
        </w:tc>
      </w:tr>
      <w:tr>
        <w:tblPrEx>
          <w:tblCellMar>
            <w:top w:w="0" w:type="dxa"/>
            <w:left w:w="0" w:type="dxa"/>
            <w:bottom w:w="0" w:type="dxa"/>
            <w:right w:w="0" w:type="dxa"/>
          </w:tblCellMar>
        </w:tblPrEx>
        <w:trPr>
          <w:trHeight w:val="986" w:hRule="atLeast"/>
          <w:jc w:val="center"/>
        </w:trPr>
        <w:tc>
          <w:tcPr>
            <w:tcW w:w="136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详细地址</w:t>
            </w:r>
          </w:p>
        </w:tc>
        <w:tc>
          <w:tcPr>
            <w:tcW w:w="376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p>
        </w:tc>
        <w:tc>
          <w:tcPr>
            <w:tcW w:w="161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邮政编码</w:t>
            </w:r>
          </w:p>
        </w:tc>
        <w:tc>
          <w:tcPr>
            <w:tcW w:w="197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p>
        </w:tc>
      </w:tr>
      <w:tr>
        <w:tblPrEx>
          <w:tblCellMar>
            <w:top w:w="0" w:type="dxa"/>
            <w:left w:w="0" w:type="dxa"/>
            <w:bottom w:w="0" w:type="dxa"/>
            <w:right w:w="0" w:type="dxa"/>
          </w:tblCellMar>
        </w:tblPrEx>
        <w:trPr>
          <w:trHeight w:val="708" w:hRule="atLeast"/>
          <w:jc w:val="center"/>
        </w:trPr>
        <w:tc>
          <w:tcPr>
            <w:tcW w:w="136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p>
        </w:tc>
        <w:tc>
          <w:tcPr>
            <w:tcW w:w="376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p>
        </w:tc>
        <w:tc>
          <w:tcPr>
            <w:tcW w:w="161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联系电话</w:t>
            </w:r>
          </w:p>
        </w:tc>
        <w:tc>
          <w:tcPr>
            <w:tcW w:w="197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p>
        </w:tc>
      </w:tr>
      <w:tr>
        <w:tblPrEx>
          <w:tblCellMar>
            <w:top w:w="0" w:type="dxa"/>
            <w:left w:w="0" w:type="dxa"/>
            <w:bottom w:w="0" w:type="dxa"/>
            <w:right w:w="0" w:type="dxa"/>
          </w:tblCellMar>
        </w:tblPrEx>
        <w:trPr>
          <w:trHeight w:val="708" w:hRule="atLeast"/>
          <w:jc w:val="center"/>
        </w:trPr>
        <w:tc>
          <w:tcPr>
            <w:tcW w:w="136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技术负责人</w:t>
            </w:r>
          </w:p>
        </w:tc>
        <w:tc>
          <w:tcPr>
            <w:tcW w:w="376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p>
        </w:tc>
        <w:tc>
          <w:tcPr>
            <w:tcW w:w="161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执业资格（职称）</w:t>
            </w:r>
          </w:p>
        </w:tc>
        <w:tc>
          <w:tcPr>
            <w:tcW w:w="197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p>
        </w:tc>
      </w:tr>
      <w:tr>
        <w:tblPrEx>
          <w:tblCellMar>
            <w:top w:w="0" w:type="dxa"/>
            <w:left w:w="0" w:type="dxa"/>
            <w:bottom w:w="0" w:type="dxa"/>
            <w:right w:w="0" w:type="dxa"/>
          </w:tblCellMar>
        </w:tblPrEx>
        <w:trPr>
          <w:trHeight w:val="2178" w:hRule="atLeast"/>
          <w:jc w:val="center"/>
        </w:trPr>
        <w:tc>
          <w:tcPr>
            <w:tcW w:w="1367" w:type="dxa"/>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经营范围</w:t>
            </w:r>
          </w:p>
        </w:tc>
        <w:tc>
          <w:tcPr>
            <w:tcW w:w="7364"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adjustRightInd w:val="0"/>
              <w:snapToGrid w:val="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主营：（以营业执照为准）</w:t>
            </w:r>
          </w:p>
          <w:p>
            <w:pPr>
              <w:adjustRightInd w:val="0"/>
              <w:snapToGrid w:val="0"/>
              <w:rPr>
                <w:rFonts w:ascii="宋体" w:hAnsi="宋体" w:eastAsia="宋体" w:cs="Times New Roman"/>
                <w:color w:val="auto"/>
                <w:sz w:val="24"/>
                <w:szCs w:val="24"/>
                <w:highlight w:val="none"/>
              </w:rPr>
            </w:pPr>
          </w:p>
        </w:tc>
      </w:tr>
      <w:tr>
        <w:tblPrEx>
          <w:tblCellMar>
            <w:top w:w="0" w:type="dxa"/>
            <w:left w:w="0" w:type="dxa"/>
            <w:bottom w:w="0" w:type="dxa"/>
            <w:right w:w="0" w:type="dxa"/>
          </w:tblCellMar>
        </w:tblPrEx>
        <w:trPr>
          <w:trHeight w:val="1256" w:hRule="atLeast"/>
          <w:jc w:val="center"/>
        </w:trPr>
        <w:tc>
          <w:tcPr>
            <w:tcW w:w="1367" w:type="dxa"/>
            <w:vMerge w:val="continue"/>
            <w:tcBorders>
              <w:top w:val="nil"/>
              <w:left w:val="single" w:color="auto" w:sz="8" w:space="0"/>
              <w:bottom w:val="single" w:color="auto" w:sz="8" w:space="0"/>
              <w:right w:val="single" w:color="auto" w:sz="8" w:space="0"/>
            </w:tcBorders>
            <w:noWrap/>
            <w:vAlign w:val="center"/>
          </w:tcPr>
          <w:p>
            <w:pPr>
              <w:adjustRightInd w:val="0"/>
              <w:snapToGrid w:val="0"/>
              <w:jc w:val="left"/>
              <w:rPr>
                <w:rFonts w:ascii="宋体" w:hAnsi="宋体" w:eastAsia="宋体" w:cs="Times New Roman"/>
                <w:color w:val="auto"/>
                <w:sz w:val="24"/>
                <w:szCs w:val="24"/>
                <w:highlight w:val="none"/>
              </w:rPr>
            </w:pPr>
          </w:p>
        </w:tc>
        <w:tc>
          <w:tcPr>
            <w:tcW w:w="7364"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adjustRightInd w:val="0"/>
              <w:snapToGrid w:val="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兼营：（以营业执照为准）</w:t>
            </w:r>
          </w:p>
        </w:tc>
      </w:tr>
    </w:tbl>
    <w:p>
      <w:pPr>
        <w:snapToGrid w:val="0"/>
        <w:ind w:firstLine="632"/>
        <w:rPr>
          <w:rFonts w:ascii="宋体" w:hAnsi="宋体" w:eastAsia="宋体" w:cs="Times New Roman"/>
          <w:color w:val="auto"/>
          <w:sz w:val="24"/>
          <w:szCs w:val="24"/>
          <w:highlight w:val="none"/>
        </w:rPr>
      </w:pPr>
    </w:p>
    <w:p>
      <w:pPr>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br w:type="page"/>
      </w:r>
    </w:p>
    <w:p>
      <w:pPr>
        <w:jc w:val="center"/>
        <w:rPr>
          <w:rFonts w:ascii="宋体" w:hAnsi="宋体" w:eastAsia="宋体" w:cs="Times New Roman"/>
          <w:color w:val="auto"/>
          <w:sz w:val="24"/>
          <w:szCs w:val="24"/>
          <w:highlight w:val="none"/>
        </w:rPr>
      </w:pPr>
    </w:p>
    <w:p>
      <w:pPr>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承诺函</w:t>
      </w:r>
    </w:p>
    <w:p>
      <w:pPr>
        <w:adjustRightInd w:val="0"/>
        <w:snapToGrid w:val="0"/>
        <w:rPr>
          <w:rFonts w:ascii="宋体" w:hAnsi="宋体" w:eastAsia="宋体" w:cs="Arial"/>
          <w:color w:val="auto"/>
          <w:kern w:val="0"/>
          <w:sz w:val="24"/>
          <w:szCs w:val="24"/>
          <w:highlight w:val="none"/>
          <w:lang w:val="zh-CN"/>
        </w:rPr>
      </w:pPr>
    </w:p>
    <w:p>
      <w:pPr>
        <w:tabs>
          <w:tab w:val="left" w:pos="600"/>
        </w:tabs>
        <w:spacing w:line="360" w:lineRule="auto"/>
        <w:rPr>
          <w:rFonts w:ascii="宋体" w:hAnsi="宋体" w:eastAsia="宋体" w:cs="宋体"/>
          <w:color w:val="auto"/>
          <w:sz w:val="24"/>
          <w:szCs w:val="24"/>
          <w:highlight w:val="none"/>
        </w:rPr>
      </w:pPr>
      <w:r>
        <w:rPr>
          <w:rFonts w:hint="eastAsia" w:ascii="宋体" w:hAnsi="宋体" w:eastAsia="宋体" w:cs="Arial"/>
          <w:color w:val="auto"/>
          <w:sz w:val="24"/>
          <w:szCs w:val="24"/>
          <w:highlight w:val="none"/>
        </w:rPr>
        <w:t>江苏盛和房地产股份</w:t>
      </w:r>
      <w:r>
        <w:rPr>
          <w:rFonts w:hint="eastAsia" w:ascii="宋体" w:hAnsi="宋体" w:eastAsia="宋体" w:cs="宋体"/>
          <w:color w:val="auto"/>
          <w:sz w:val="24"/>
          <w:szCs w:val="24"/>
          <w:highlight w:val="none"/>
        </w:rPr>
        <w:t>有限公司：</w:t>
      </w:r>
    </w:p>
    <w:p>
      <w:pPr>
        <w:tabs>
          <w:tab w:val="left" w:pos="600"/>
        </w:tabs>
        <w:spacing w:line="360" w:lineRule="auto"/>
        <w:ind w:firstLine="480"/>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本企业郑重承诺：</w:t>
      </w:r>
    </w:p>
    <w:p>
      <w:pPr>
        <w:tabs>
          <w:tab w:val="left" w:pos="600"/>
        </w:tabs>
        <w:spacing w:line="360" w:lineRule="auto"/>
        <w:ind w:firstLine="480"/>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1、我方承诺</w:t>
      </w:r>
      <w:bookmarkStart w:id="12" w:name="_Hlk121387757"/>
      <w:r>
        <w:rPr>
          <w:rFonts w:hint="eastAsia" w:ascii="宋体" w:hAnsi="宋体" w:eastAsia="宋体" w:cs="宋体"/>
          <w:color w:val="auto"/>
          <w:sz w:val="24"/>
          <w:szCs w:val="24"/>
          <w:highlight w:val="none"/>
        </w:rPr>
        <w:t>并接受</w:t>
      </w:r>
      <w:bookmarkEnd w:id="12"/>
      <w:r>
        <w:rPr>
          <w:rFonts w:hint="eastAsia" w:ascii="宋体" w:hAnsi="宋体" w:eastAsia="宋体" w:cs="宋体"/>
          <w:color w:val="auto"/>
          <w:sz w:val="24"/>
          <w:szCs w:val="24"/>
          <w:highlight w:val="none"/>
        </w:rPr>
        <w:t>当征集文件未有规定或产生歧义时，征集人有全权解释的权力。</w:t>
      </w:r>
    </w:p>
    <w:p>
      <w:pPr>
        <w:tabs>
          <w:tab w:val="left" w:pos="600"/>
        </w:tabs>
        <w:spacing w:line="360" w:lineRule="auto"/>
        <w:ind w:firstLine="480"/>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2、我方承诺完全接受贵方考核和监督，无条件履行合同条款内容。</w:t>
      </w:r>
    </w:p>
    <w:p>
      <w:pPr>
        <w:tabs>
          <w:tab w:val="left" w:pos="600"/>
        </w:tabs>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3、一旦我方入选，我方保证将按照征集文件根据项目规模及要求配置项目组人员完成贵方委托的全部工程检测服务工作，否则征集人有权取消我方入选资格。</w:t>
      </w:r>
    </w:p>
    <w:p>
      <w:pPr>
        <w:tabs>
          <w:tab w:val="left" w:pos="600"/>
        </w:tabs>
        <w:spacing w:line="360" w:lineRule="auto"/>
        <w:ind w:firstLine="480"/>
        <w:rPr>
          <w:rFonts w:hint="eastAsia" w:ascii="宋体" w:hAnsi="宋体" w:eastAsia="宋体" w:cs="宋体"/>
          <w:color w:val="auto"/>
          <w:sz w:val="24"/>
          <w:szCs w:val="24"/>
          <w:highlight w:val="none"/>
        </w:rPr>
      </w:pPr>
      <w:bookmarkStart w:id="13" w:name="_Hlk121408613"/>
      <w:r>
        <w:rPr>
          <w:rFonts w:hint="eastAsia" w:ascii="宋体" w:hAnsi="宋体" w:eastAsia="宋体" w:cs="宋体"/>
          <w:color w:val="auto"/>
          <w:sz w:val="24"/>
          <w:szCs w:val="24"/>
          <w:highlight w:val="none"/>
        </w:rPr>
        <w:t>4、我方接受入选价格的确定：入选价格为申请人递交的申请报价，如在年度合作期间征集人发现因市场波动等原因导致在相同区域的其它项目检测费用低于入选价格</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的情形，征集人有权随时终止合作协议，并另行委托检测服务，由此引起的损失由入选人自行承担。</w:t>
      </w:r>
    </w:p>
    <w:p>
      <w:pPr>
        <w:tabs>
          <w:tab w:val="left" w:pos="600"/>
        </w:tabs>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、我方接受入选价格的结算：如征集人按单项检测类别委托检测的，其结算方式按申请人递交的费率并结合有关收费标准按实结算检测费用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报价一）</w:t>
      </w:r>
      <w:r>
        <w:rPr>
          <w:rFonts w:hint="eastAsia" w:ascii="宋体" w:hAnsi="宋体" w:eastAsia="宋体" w:cs="宋体"/>
          <w:color w:val="auto"/>
          <w:sz w:val="24"/>
          <w:szCs w:val="24"/>
          <w:highlight w:val="none"/>
        </w:rPr>
        <w:t>；如征集人按项目整体委托检测的，征集人可按入选人单方费用进行结算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报价二）</w:t>
      </w:r>
      <w:r>
        <w:rPr>
          <w:rFonts w:hint="eastAsia" w:ascii="宋体" w:hAnsi="宋体" w:eastAsia="宋体" w:cs="宋体"/>
          <w:color w:val="auto"/>
          <w:sz w:val="24"/>
          <w:szCs w:val="24"/>
          <w:highlight w:val="none"/>
        </w:rPr>
        <w:t>；以上两种工程检测费用结算方式，征集人有权按项目实际情况，选择工程检测费用相对较少的任一方式进行结算，入选人不得提出任何异议。</w:t>
      </w:r>
    </w:p>
    <w:p>
      <w:pPr>
        <w:tabs>
          <w:tab w:val="left" w:pos="600"/>
        </w:tabs>
        <w:spacing w:line="360" w:lineRule="auto"/>
        <w:ind w:firstLine="480"/>
        <w:rPr>
          <w:rFonts w:ascii="宋体" w:hAnsi="宋体" w:eastAsia="宋体" w:cs="宋体"/>
          <w:color w:val="auto"/>
          <w:sz w:val="24"/>
          <w:szCs w:val="24"/>
          <w:highlight w:val="none"/>
        </w:rPr>
      </w:pPr>
    </w:p>
    <w:bookmarkEnd w:id="13"/>
    <w:p>
      <w:pPr>
        <w:tabs>
          <w:tab w:val="left" w:pos="600"/>
        </w:tabs>
        <w:spacing w:line="360" w:lineRule="auto"/>
        <w:ind w:firstLine="480"/>
        <w:rPr>
          <w:rFonts w:ascii="宋体" w:hAnsi="宋体" w:eastAsia="宋体" w:cs="宋体"/>
          <w:color w:val="auto"/>
          <w:sz w:val="24"/>
          <w:szCs w:val="24"/>
          <w:highlight w:val="none"/>
        </w:rPr>
      </w:pPr>
    </w:p>
    <w:p>
      <w:pPr>
        <w:pStyle w:val="25"/>
        <w:rPr>
          <w:color w:val="auto"/>
          <w:highlight w:val="none"/>
        </w:rPr>
      </w:pPr>
    </w:p>
    <w:p>
      <w:pPr>
        <w:ind w:right="-11" w:firstLine="240" w:firstLineChars="100"/>
        <w:rPr>
          <w:rFonts w:ascii="宋体" w:hAnsi="宋体" w:eastAsia="宋体" w:cs="Arial"/>
          <w:color w:val="auto"/>
          <w:sz w:val="24"/>
          <w:szCs w:val="24"/>
          <w:highlight w:val="none"/>
        </w:rPr>
      </w:pPr>
    </w:p>
    <w:p>
      <w:pPr>
        <w:ind w:right="-11" w:firstLine="240" w:firstLineChars="100"/>
        <w:rPr>
          <w:rFonts w:ascii="宋体" w:hAnsi="宋体" w:eastAsia="宋体" w:cs="Arial"/>
          <w:color w:val="auto"/>
          <w:sz w:val="24"/>
          <w:szCs w:val="24"/>
          <w:highlight w:val="none"/>
        </w:rPr>
      </w:pPr>
    </w:p>
    <w:p>
      <w:pPr>
        <w:ind w:right="-11" w:firstLine="240" w:firstLineChars="100"/>
        <w:rPr>
          <w:rFonts w:ascii="宋体" w:hAnsi="宋体" w:eastAsia="宋体" w:cs="Arial"/>
          <w:color w:val="auto"/>
          <w:sz w:val="24"/>
          <w:szCs w:val="24"/>
          <w:highlight w:val="none"/>
        </w:rPr>
      </w:pPr>
    </w:p>
    <w:p>
      <w:pPr>
        <w:ind w:right="709" w:firstLine="240" w:firstLineChars="100"/>
        <w:jc w:val="right"/>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申请人全称（公章）：</w:t>
      </w:r>
    </w:p>
    <w:p>
      <w:pPr>
        <w:ind w:right="-11" w:firstLine="240" w:firstLineChars="100"/>
        <w:jc w:val="right"/>
        <w:rPr>
          <w:rFonts w:ascii="宋体" w:hAnsi="宋体" w:eastAsia="宋体" w:cs="Arial"/>
          <w:color w:val="auto"/>
          <w:sz w:val="24"/>
          <w:szCs w:val="24"/>
          <w:highlight w:val="none"/>
        </w:rPr>
      </w:pPr>
    </w:p>
    <w:p>
      <w:pPr>
        <w:ind w:right="-11" w:firstLine="240" w:firstLineChars="100"/>
        <w:jc w:val="right"/>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法定代表人（签字或盖章）：</w:t>
      </w:r>
    </w:p>
    <w:p>
      <w:pPr>
        <w:ind w:right="-11" w:firstLine="240" w:firstLineChars="100"/>
        <w:jc w:val="right"/>
        <w:rPr>
          <w:rFonts w:ascii="宋体" w:hAnsi="宋体" w:eastAsia="宋体" w:cs="Arial"/>
          <w:color w:val="auto"/>
          <w:sz w:val="24"/>
          <w:szCs w:val="24"/>
          <w:highlight w:val="none"/>
        </w:rPr>
      </w:pPr>
    </w:p>
    <w:p>
      <w:pPr>
        <w:tabs>
          <w:tab w:val="left" w:pos="600"/>
        </w:tabs>
        <w:spacing w:line="300" w:lineRule="auto"/>
        <w:ind w:right="960" w:firstLine="5280" w:firstLineChars="2200"/>
        <w:rPr>
          <w:rFonts w:ascii="宋体" w:hAnsi="宋体" w:eastAsia="宋体" w:cs="Times New Roman"/>
          <w:bCs/>
          <w:color w:val="auto"/>
          <w:kern w:val="0"/>
          <w:sz w:val="24"/>
          <w:szCs w:val="24"/>
          <w:highlight w:val="none"/>
        </w:rPr>
      </w:pPr>
      <w:r>
        <w:rPr>
          <w:rFonts w:hint="eastAsia" w:ascii="宋体" w:hAnsi="宋体" w:eastAsia="宋体" w:cs="Arial"/>
          <w:color w:val="auto"/>
          <w:sz w:val="24"/>
          <w:szCs w:val="24"/>
          <w:highlight w:val="none"/>
        </w:rPr>
        <w:t>日期：</w:t>
      </w:r>
    </w:p>
    <w:p>
      <w:pPr>
        <w:spacing w:line="360" w:lineRule="auto"/>
        <w:rPr>
          <w:rFonts w:ascii="宋体" w:hAnsi="宋体" w:eastAsia="宋体"/>
          <w:color w:val="auto"/>
          <w:sz w:val="24"/>
          <w:szCs w:val="24"/>
          <w:highlight w:val="none"/>
        </w:rPr>
      </w:pPr>
      <w:r>
        <w:rPr>
          <w:rFonts w:hint="eastAsia" w:ascii="宋体" w:hAnsi="宋体" w:eastAsia="宋体" w:cs="宋体"/>
          <w:b/>
          <w:bCs/>
          <w:color w:val="auto"/>
          <w:sz w:val="24"/>
          <w:szCs w:val="24"/>
          <w:highlight w:val="none"/>
        </w:rPr>
        <w:br w:type="page"/>
      </w:r>
    </w:p>
    <w:p>
      <w:pPr>
        <w:spacing w:beforeLines="100" w:afterLines="50"/>
        <w:jc w:val="center"/>
        <w:rPr>
          <w:rFonts w:ascii="宋体" w:hAnsi="宋体" w:eastAsia="宋体" w:cs="Times New Roman"/>
          <w:b/>
          <w:color w:val="auto"/>
          <w:sz w:val="32"/>
          <w:szCs w:val="32"/>
          <w:highlight w:val="none"/>
        </w:rPr>
      </w:pPr>
    </w:p>
    <w:p>
      <w:pPr>
        <w:spacing w:beforeLines="100" w:afterLines="50"/>
        <w:jc w:val="center"/>
        <w:rPr>
          <w:rFonts w:ascii="宋体" w:hAnsi="宋体" w:eastAsia="宋体" w:cs="Times New Roman"/>
          <w:bCs/>
          <w:color w:val="auto"/>
          <w:kern w:val="0"/>
          <w:sz w:val="24"/>
          <w:szCs w:val="24"/>
          <w:highlight w:val="none"/>
          <w:lang w:val="zh-CN"/>
        </w:rPr>
      </w:pPr>
      <w:r>
        <w:rPr>
          <w:rFonts w:hint="eastAsia" w:ascii="宋体" w:hAnsi="宋体" w:eastAsia="宋体" w:cs="Times New Roman"/>
          <w:b/>
          <w:color w:val="auto"/>
          <w:sz w:val="32"/>
          <w:szCs w:val="32"/>
          <w:highlight w:val="none"/>
        </w:rPr>
        <w:t>诚信承诺书</w:t>
      </w:r>
    </w:p>
    <w:p>
      <w:pPr>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致：</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征集单位全称）</w:t>
      </w:r>
    </w:p>
    <w:p>
      <w:pPr>
        <w:spacing w:line="480" w:lineRule="exact"/>
        <w:ind w:firstLine="960" w:firstLineChars="400"/>
        <w:jc w:val="left"/>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（申请人全称）参与</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（项目名称）比选，我单位愿意作出以下承诺：</w:t>
      </w:r>
    </w:p>
    <w:p>
      <w:pPr>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申请人诚信承诺书非本单位法定代表人签发的，承诺内容不实的，一经查实，愿意按弄虚作假、提供虚假材料情况对待，列入不良行为记录，并自愿接受禁止在沿海集团及各子公司1—3年申请资格等行政惩处，对违反承诺内容所引发的一切后果，我单位愿负法律责任。</w:t>
      </w:r>
    </w:p>
    <w:p>
      <w:pPr>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2、我单位参与本工程申请，提交的申请文件真实可信。证件及有关附件是真实的，复印件与原件是一致的，绝无借资质、挂靠、提供虚假材料等违规现象；</w:t>
      </w:r>
    </w:p>
    <w:p>
      <w:pPr>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3、我单位不参与任何串标围标等违法活动；</w:t>
      </w:r>
    </w:p>
    <w:p>
      <w:pPr>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4、若我单位未能兑现以上承诺，愿意接受处罚；</w:t>
      </w:r>
    </w:p>
    <w:p>
      <w:pPr>
        <w:spacing w:line="480" w:lineRule="exact"/>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5、我单位遵守国家廉政相关规定，无失信、行贿等不良行为；</w:t>
      </w:r>
    </w:p>
    <w:p>
      <w:pPr>
        <w:spacing w:line="480" w:lineRule="exact"/>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6、如入选，我单位将委派本公司所属的正式队伍进场完成所有测绘工作内容；</w:t>
      </w:r>
    </w:p>
    <w:p>
      <w:pPr>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7、如入选，我单位将按照申请文件中委派的项目负责人、项目组成员及时到位，且全面负责工作；</w:t>
      </w:r>
    </w:p>
    <w:p>
      <w:pPr>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8、如入选，我单位将按照相关要求配备主要</w:t>
      </w:r>
      <w:r>
        <w:rPr>
          <w:rFonts w:hint="eastAsia" w:ascii="宋体" w:hAnsi="宋体" w:eastAsia="宋体" w:cs="Times New Roman"/>
          <w:color w:val="auto"/>
          <w:sz w:val="24"/>
          <w:szCs w:val="24"/>
          <w:highlight w:val="none"/>
          <w:lang w:val="en-US" w:eastAsia="zh-CN"/>
        </w:rPr>
        <w:t>检测</w:t>
      </w:r>
      <w:r>
        <w:rPr>
          <w:rFonts w:hint="eastAsia" w:ascii="宋体" w:hAnsi="宋体" w:eastAsia="宋体" w:cs="Times New Roman"/>
          <w:color w:val="auto"/>
          <w:sz w:val="24"/>
          <w:szCs w:val="24"/>
          <w:highlight w:val="none"/>
        </w:rPr>
        <w:t>仪器设备及时进场，且投入正常的生产。</w:t>
      </w:r>
    </w:p>
    <w:p>
      <w:pPr>
        <w:spacing w:line="480" w:lineRule="exact"/>
        <w:ind w:firstLine="480" w:firstLineChars="200"/>
        <w:textAlignment w:val="baseline"/>
        <w:rPr>
          <w:rFonts w:ascii="宋体" w:hAnsi="宋体" w:eastAsia="宋体" w:cs="Times New Roman"/>
          <w:color w:val="auto"/>
          <w:sz w:val="24"/>
          <w:szCs w:val="24"/>
          <w:highlight w:val="none"/>
        </w:rPr>
      </w:pPr>
    </w:p>
    <w:p>
      <w:pPr>
        <w:spacing w:line="480" w:lineRule="exact"/>
        <w:ind w:firstLine="3960" w:firstLineChars="1650"/>
        <w:jc w:val="left"/>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申请人（盖单位章）： </w:t>
      </w:r>
      <w:r>
        <w:rPr>
          <w:rFonts w:hint="eastAsia" w:ascii="宋体" w:hAnsi="宋体" w:eastAsia="宋体" w:cs="Times New Roman"/>
          <w:color w:val="auto"/>
          <w:sz w:val="24"/>
          <w:szCs w:val="24"/>
          <w:highlight w:val="none"/>
          <w:u w:val="single"/>
        </w:rPr>
        <w:t xml:space="preserve">                       </w:t>
      </w:r>
    </w:p>
    <w:p>
      <w:pPr>
        <w:spacing w:line="480" w:lineRule="exact"/>
        <w:ind w:firstLine="3960" w:firstLineChars="1650"/>
        <w:jc w:val="left"/>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法定代表人（签字）：</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 xml:space="preserve"> </w:t>
      </w:r>
    </w:p>
    <w:p>
      <w:pPr>
        <w:snapToGrid w:val="0"/>
        <w:spacing w:line="360" w:lineRule="auto"/>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日</w:t>
      </w:r>
    </w:p>
    <w:p>
      <w:pPr>
        <w:widowControl/>
        <w:spacing w:line="440" w:lineRule="exact"/>
        <w:ind w:firstLine="2880" w:firstLineChars="1200"/>
        <w:jc w:val="left"/>
        <w:rPr>
          <w:rFonts w:ascii="宋体" w:hAnsi="宋体" w:eastAsia="宋体" w:cs="Times New Roman"/>
          <w:color w:val="auto"/>
          <w:sz w:val="24"/>
          <w:szCs w:val="24"/>
          <w:highlight w:val="none"/>
        </w:rPr>
      </w:pPr>
    </w:p>
    <w:p>
      <w:pPr>
        <w:rPr>
          <w:rFonts w:ascii="宋体" w:hAnsi="宋体" w:eastAsia="宋体" w:cs="Times New Roman"/>
          <w:color w:val="auto"/>
          <w:sz w:val="24"/>
          <w:szCs w:val="24"/>
          <w:highlight w:val="none"/>
        </w:rPr>
      </w:pPr>
    </w:p>
    <w:p>
      <w:pPr>
        <w:rPr>
          <w:rFonts w:ascii="宋体" w:hAnsi="宋体" w:eastAsia="宋体" w:cs="Times New Roman"/>
          <w:color w:val="auto"/>
          <w:sz w:val="24"/>
          <w:szCs w:val="24"/>
          <w:highlight w:val="none"/>
        </w:rPr>
      </w:pPr>
    </w:p>
    <w:p>
      <w:pPr>
        <w:spacing w:line="360" w:lineRule="auto"/>
        <w:ind w:firstLine="482" w:firstLineChars="200"/>
        <w:rPr>
          <w:rFonts w:ascii="宋体" w:hAnsi="宋体" w:eastAsia="宋体"/>
          <w:color w:val="auto"/>
          <w:sz w:val="24"/>
          <w:szCs w:val="24"/>
          <w:highlight w:val="none"/>
        </w:rPr>
      </w:pPr>
      <w:r>
        <w:rPr>
          <w:rFonts w:hint="eastAsia" w:ascii="宋体" w:hAnsi="宋体" w:eastAsia="宋体" w:cs="宋体"/>
          <w:b/>
          <w:bCs/>
          <w:color w:val="auto"/>
          <w:sz w:val="24"/>
          <w:szCs w:val="24"/>
          <w:highlight w:val="none"/>
        </w:rPr>
        <w:br w:type="page"/>
      </w:r>
    </w:p>
    <w:p>
      <w:pPr>
        <w:spacing w:beforeLines="100" w:afterLines="50"/>
        <w:jc w:val="center"/>
        <w:rPr>
          <w:rFonts w:ascii="宋体" w:hAnsi="宋体" w:eastAsia="宋体" w:cs="Times New Roman"/>
          <w:b/>
          <w:color w:val="auto"/>
          <w:sz w:val="32"/>
          <w:szCs w:val="32"/>
          <w:highlight w:val="none"/>
        </w:rPr>
      </w:pPr>
      <w:r>
        <w:rPr>
          <w:rFonts w:ascii="宋体" w:hAnsi="宋体" w:eastAsia="宋体" w:cs="Times New Roman"/>
          <w:b/>
          <w:color w:val="auto"/>
          <w:sz w:val="32"/>
          <w:szCs w:val="32"/>
          <w:highlight w:val="none"/>
        </w:rPr>
        <w:t>报价表</w:t>
      </w:r>
    </w:p>
    <w:p>
      <w:pPr>
        <w:spacing w:beforeLines="100" w:afterLines="50" w:line="276" w:lineRule="auto"/>
        <w:jc w:val="left"/>
        <w:rPr>
          <w:rFonts w:ascii="宋体" w:hAnsi="宋体" w:eastAsia="宋体" w:cs="Times New Roman"/>
          <w:bCs/>
          <w:color w:val="auto"/>
          <w:kern w:val="0"/>
          <w:sz w:val="24"/>
          <w:szCs w:val="24"/>
          <w:highlight w:val="none"/>
        </w:rPr>
      </w:pPr>
      <w:r>
        <w:rPr>
          <w:rFonts w:hint="eastAsia" w:ascii="宋体" w:hAnsi="宋体" w:eastAsia="宋体" w:cs="Times New Roman"/>
          <w:b/>
          <w:color w:val="auto"/>
          <w:kern w:val="0"/>
          <w:sz w:val="24"/>
          <w:szCs w:val="24"/>
          <w:highlight w:val="none"/>
        </w:rPr>
        <w:t>项目名称：</w:t>
      </w:r>
      <w:r>
        <w:rPr>
          <w:rFonts w:hint="eastAsia" w:ascii="宋体" w:hAnsi="宋体" w:eastAsia="宋体" w:cs="宋体"/>
          <w:color w:val="auto"/>
          <w:sz w:val="24"/>
          <w:szCs w:val="24"/>
          <w:highlight w:val="none"/>
        </w:rPr>
        <w:t>江苏盛和房地产股份有限公司2023-202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年度合作单位（工程检测）征集</w:t>
      </w:r>
      <w:r>
        <w:rPr>
          <w:rFonts w:hint="eastAsia" w:ascii="宋体" w:hAnsi="宋体" w:eastAsia="宋体" w:cs="Times New Roman"/>
          <w:bCs/>
          <w:color w:val="auto"/>
          <w:kern w:val="0"/>
          <w:sz w:val="24"/>
          <w:szCs w:val="24"/>
          <w:highlight w:val="none"/>
        </w:rPr>
        <w:t xml:space="preserve"> </w:t>
      </w:r>
      <w:r>
        <w:rPr>
          <w:rFonts w:ascii="宋体" w:hAnsi="宋体" w:eastAsia="宋体" w:cs="Times New Roman"/>
          <w:bCs/>
          <w:color w:val="auto"/>
          <w:kern w:val="0"/>
          <w:sz w:val="24"/>
          <w:szCs w:val="24"/>
          <w:highlight w:val="none"/>
        </w:rPr>
        <w:t xml:space="preserve"> </w:t>
      </w:r>
    </w:p>
    <w:p>
      <w:pPr>
        <w:spacing w:beforeLines="100" w:afterLines="50" w:line="276" w:lineRule="auto"/>
        <w:jc w:val="left"/>
        <w:rPr>
          <w:rFonts w:hint="default"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rPr>
        <w:t>服务期限：202</w:t>
      </w:r>
      <w:r>
        <w:rPr>
          <w:rFonts w:ascii="宋体" w:hAnsi="宋体" w:eastAsia="宋体" w:cs="Times New Roman"/>
          <w:bCs/>
          <w:color w:val="auto"/>
          <w:kern w:val="0"/>
          <w:sz w:val="24"/>
          <w:szCs w:val="24"/>
          <w:highlight w:val="none"/>
        </w:rPr>
        <w:t>3</w:t>
      </w:r>
      <w:r>
        <w:rPr>
          <w:rFonts w:hint="eastAsia" w:ascii="宋体" w:hAnsi="宋体" w:eastAsia="宋体" w:cs="Times New Roman"/>
          <w:bCs/>
          <w:color w:val="auto"/>
          <w:kern w:val="0"/>
          <w:sz w:val="24"/>
          <w:szCs w:val="24"/>
          <w:highlight w:val="none"/>
        </w:rPr>
        <w:t>年</w:t>
      </w:r>
      <w:r>
        <w:rPr>
          <w:rFonts w:hint="eastAsia" w:ascii="宋体" w:hAnsi="宋体" w:eastAsia="宋体" w:cs="Times New Roman"/>
          <w:bCs/>
          <w:color w:val="auto"/>
          <w:kern w:val="0"/>
          <w:sz w:val="24"/>
          <w:szCs w:val="24"/>
          <w:highlight w:val="none"/>
          <w:lang w:val="en-US" w:eastAsia="zh-CN"/>
        </w:rPr>
        <w:t>6</w:t>
      </w:r>
      <w:r>
        <w:rPr>
          <w:rFonts w:hint="eastAsia" w:ascii="宋体" w:hAnsi="宋体" w:eastAsia="宋体" w:cs="Times New Roman"/>
          <w:bCs/>
          <w:color w:val="auto"/>
          <w:kern w:val="0"/>
          <w:sz w:val="24"/>
          <w:szCs w:val="24"/>
          <w:highlight w:val="none"/>
        </w:rPr>
        <w:t>月-</w:t>
      </w:r>
      <w:r>
        <w:rPr>
          <w:rFonts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rPr>
        <w:t>202</w:t>
      </w:r>
      <w:r>
        <w:rPr>
          <w:rFonts w:hint="eastAsia" w:ascii="宋体" w:hAnsi="宋体" w:eastAsia="宋体" w:cs="Times New Roman"/>
          <w:bCs/>
          <w:color w:val="auto"/>
          <w:kern w:val="0"/>
          <w:sz w:val="24"/>
          <w:szCs w:val="24"/>
          <w:highlight w:val="none"/>
          <w:lang w:val="en-US" w:eastAsia="zh-CN"/>
        </w:rPr>
        <w:t>4</w:t>
      </w:r>
      <w:r>
        <w:rPr>
          <w:rFonts w:hint="eastAsia" w:ascii="宋体" w:hAnsi="宋体" w:eastAsia="宋体" w:cs="Times New Roman"/>
          <w:bCs/>
          <w:color w:val="auto"/>
          <w:kern w:val="0"/>
          <w:sz w:val="24"/>
          <w:szCs w:val="24"/>
          <w:highlight w:val="none"/>
        </w:rPr>
        <w:t>年</w:t>
      </w:r>
      <w:r>
        <w:rPr>
          <w:rFonts w:hint="eastAsia" w:ascii="宋体" w:hAnsi="宋体" w:eastAsia="宋体" w:cs="Times New Roman"/>
          <w:bCs/>
          <w:color w:val="auto"/>
          <w:kern w:val="0"/>
          <w:sz w:val="24"/>
          <w:szCs w:val="24"/>
          <w:highlight w:val="none"/>
          <w:lang w:val="en-US" w:eastAsia="zh-CN"/>
        </w:rPr>
        <w:t>5月</w:t>
      </w:r>
    </w:p>
    <w:tbl>
      <w:tblPr>
        <w:tblStyle w:val="16"/>
        <w:tblW w:w="8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879"/>
        <w:gridCol w:w="181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897" w:type="dxa"/>
            <w:vAlign w:val="center"/>
          </w:tcPr>
          <w:p>
            <w:pPr>
              <w:spacing w:line="276" w:lineRule="auto"/>
              <w:jc w:val="center"/>
              <w:rPr>
                <w:rFonts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序号</w:t>
            </w:r>
          </w:p>
        </w:tc>
        <w:tc>
          <w:tcPr>
            <w:tcW w:w="3879" w:type="dxa"/>
            <w:vAlign w:val="center"/>
          </w:tcPr>
          <w:p>
            <w:pPr>
              <w:spacing w:line="276" w:lineRule="auto"/>
              <w:jc w:val="center"/>
              <w:rPr>
                <w:rFonts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项目名称</w:t>
            </w:r>
          </w:p>
        </w:tc>
        <w:tc>
          <w:tcPr>
            <w:tcW w:w="1813" w:type="dxa"/>
            <w:tcBorders>
              <w:bottom w:val="single" w:color="auto" w:sz="4" w:space="0"/>
            </w:tcBorders>
            <w:vAlign w:val="center"/>
          </w:tcPr>
          <w:p>
            <w:pPr>
              <w:spacing w:line="276" w:lineRule="auto"/>
              <w:jc w:val="center"/>
              <w:rPr>
                <w:rFonts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费率上限</w:t>
            </w:r>
          </w:p>
        </w:tc>
        <w:tc>
          <w:tcPr>
            <w:tcW w:w="1843" w:type="dxa"/>
            <w:tcBorders>
              <w:bottom w:val="single" w:color="auto" w:sz="4" w:space="0"/>
            </w:tcBorders>
            <w:vAlign w:val="center"/>
          </w:tcPr>
          <w:p>
            <w:pPr>
              <w:spacing w:line="276" w:lineRule="auto"/>
              <w:jc w:val="center"/>
              <w:rPr>
                <w:rFonts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比选报价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897" w:type="dxa"/>
            <w:vAlign w:val="center"/>
          </w:tcPr>
          <w:p>
            <w:pPr>
              <w:spacing w:line="276" w:lineRule="auto"/>
              <w:jc w:val="center"/>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rPr>
              <w:t>1</w:t>
            </w:r>
          </w:p>
        </w:tc>
        <w:tc>
          <w:tcPr>
            <w:tcW w:w="3879" w:type="dxa"/>
            <w:vAlign w:val="center"/>
          </w:tcPr>
          <w:p>
            <w:pPr>
              <w:spacing w:line="276" w:lineRule="auto"/>
              <w:jc w:val="center"/>
              <w:rPr>
                <w:rFonts w:ascii="宋体" w:hAnsi="宋体" w:eastAsia="宋体" w:cs="Times New Roman"/>
                <w:bCs/>
                <w:color w:val="auto"/>
                <w:kern w:val="0"/>
                <w:sz w:val="24"/>
                <w:szCs w:val="24"/>
                <w:highlight w:val="none"/>
              </w:rPr>
            </w:pPr>
            <w:r>
              <w:rPr>
                <w:rFonts w:hint="eastAsia" w:ascii="宋体" w:hAnsi="宋体" w:eastAsia="宋体" w:cs="宋体"/>
                <w:color w:val="auto"/>
                <w:sz w:val="24"/>
                <w:szCs w:val="24"/>
                <w:highlight w:val="none"/>
              </w:rPr>
              <w:t>江苏盛和房地产股份有限公司2023-202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年度合作单位（工程检测）费率</w:t>
            </w:r>
          </w:p>
        </w:tc>
        <w:tc>
          <w:tcPr>
            <w:tcW w:w="1813" w:type="dxa"/>
            <w:tcBorders>
              <w:bottom w:val="single" w:color="auto" w:sz="4" w:space="0"/>
            </w:tcBorders>
            <w:vAlign w:val="center"/>
          </w:tcPr>
          <w:p>
            <w:pPr>
              <w:spacing w:line="276" w:lineRule="auto"/>
              <w:jc w:val="center"/>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7</w:t>
            </w:r>
            <w:r>
              <w:rPr>
                <w:rFonts w:hint="eastAsia" w:ascii="宋体" w:hAnsi="宋体" w:eastAsia="宋体" w:cs="Times New Roman"/>
                <w:bCs/>
                <w:color w:val="auto"/>
                <w:kern w:val="0"/>
                <w:sz w:val="24"/>
                <w:szCs w:val="24"/>
                <w:highlight w:val="none"/>
              </w:rPr>
              <w:t>0%</w:t>
            </w:r>
          </w:p>
        </w:tc>
        <w:tc>
          <w:tcPr>
            <w:tcW w:w="1843" w:type="dxa"/>
            <w:tcBorders>
              <w:bottom w:val="single" w:color="auto" w:sz="4" w:space="0"/>
            </w:tcBorders>
            <w:vAlign w:val="center"/>
          </w:tcPr>
          <w:p>
            <w:pPr>
              <w:spacing w:line="276" w:lineRule="auto"/>
              <w:jc w:val="center"/>
              <w:rPr>
                <w:rFonts w:ascii="宋体" w:hAnsi="宋体" w:eastAsia="宋体" w:cs="Times New Roman"/>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897" w:type="dxa"/>
            <w:vAlign w:val="center"/>
          </w:tcPr>
          <w:p>
            <w:pPr>
              <w:spacing w:line="276" w:lineRule="auto"/>
              <w:jc w:val="center"/>
              <w:rPr>
                <w:rFonts w:ascii="宋体" w:hAnsi="宋体" w:eastAsia="宋体" w:cs="Times New Roman"/>
                <w:bCs/>
                <w:color w:val="auto"/>
                <w:kern w:val="0"/>
                <w:sz w:val="24"/>
                <w:szCs w:val="24"/>
                <w:highlight w:val="none"/>
              </w:rPr>
            </w:pPr>
            <w:r>
              <w:rPr>
                <w:rFonts w:ascii="宋体" w:hAnsi="宋体" w:eastAsia="宋体" w:cs="Times New Roman"/>
                <w:bCs/>
                <w:color w:val="auto"/>
                <w:kern w:val="0"/>
                <w:sz w:val="24"/>
                <w:szCs w:val="24"/>
                <w:highlight w:val="none"/>
              </w:rPr>
              <w:t>2</w:t>
            </w:r>
          </w:p>
        </w:tc>
        <w:tc>
          <w:tcPr>
            <w:tcW w:w="3879" w:type="dxa"/>
            <w:vAlign w:val="center"/>
          </w:tcPr>
          <w:p>
            <w:pPr>
              <w:spacing w:line="276" w:lineRule="auto"/>
              <w:jc w:val="center"/>
              <w:rPr>
                <w:rFonts w:ascii="宋体" w:hAnsi="宋体" w:eastAsia="宋体" w:cs="Times New Roman"/>
                <w:bCs/>
                <w:color w:val="auto"/>
                <w:kern w:val="0"/>
                <w:sz w:val="24"/>
                <w:szCs w:val="24"/>
                <w:highlight w:val="none"/>
              </w:rPr>
            </w:pPr>
            <w:r>
              <w:rPr>
                <w:rFonts w:hint="eastAsia" w:ascii="宋体" w:hAnsi="宋体" w:eastAsia="宋体" w:cs="宋体"/>
                <w:color w:val="auto"/>
                <w:sz w:val="24"/>
                <w:szCs w:val="24"/>
                <w:highlight w:val="none"/>
              </w:rPr>
              <w:t>江苏盛和房地产股份有限公司2023-202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年度合作单位（工程检测）单项目</w:t>
            </w:r>
            <w:r>
              <w:rPr>
                <w:rFonts w:hint="eastAsia" w:ascii="宋体" w:hAnsi="宋体" w:eastAsia="宋体" w:cs="宋体"/>
                <w:color w:val="auto"/>
                <w:sz w:val="24"/>
                <w:szCs w:val="24"/>
                <w:highlight w:val="none"/>
                <w:lang w:val="en-US" w:eastAsia="zh-CN"/>
              </w:rPr>
              <w:t>质量检测</w:t>
            </w:r>
            <w:r>
              <w:rPr>
                <w:rFonts w:hint="eastAsia" w:ascii="宋体" w:hAnsi="宋体" w:eastAsia="宋体" w:cs="宋体"/>
                <w:color w:val="auto"/>
                <w:sz w:val="24"/>
                <w:szCs w:val="24"/>
                <w:highlight w:val="none"/>
              </w:rPr>
              <w:t>收费</w:t>
            </w:r>
          </w:p>
        </w:tc>
        <w:tc>
          <w:tcPr>
            <w:tcW w:w="1813" w:type="dxa"/>
            <w:vAlign w:val="center"/>
          </w:tcPr>
          <w:p>
            <w:pPr>
              <w:spacing w:line="276" w:lineRule="auto"/>
              <w:jc w:val="center"/>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9</w:t>
            </w:r>
            <w:r>
              <w:rPr>
                <w:rFonts w:hint="eastAsia" w:ascii="宋体" w:hAnsi="宋体" w:eastAsia="宋体" w:cs="Times New Roman"/>
                <w:bCs/>
                <w:color w:val="auto"/>
                <w:kern w:val="0"/>
                <w:sz w:val="24"/>
                <w:szCs w:val="24"/>
                <w:highlight w:val="none"/>
              </w:rPr>
              <w:t>元/m2</w:t>
            </w:r>
          </w:p>
        </w:tc>
        <w:tc>
          <w:tcPr>
            <w:tcW w:w="1843" w:type="dxa"/>
            <w:vAlign w:val="center"/>
          </w:tcPr>
          <w:p>
            <w:pPr>
              <w:spacing w:line="276" w:lineRule="auto"/>
              <w:jc w:val="center"/>
              <w:rPr>
                <w:rFonts w:ascii="宋体" w:hAnsi="宋体" w:eastAsia="宋体" w:cs="Times New Roman"/>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897" w:type="dxa"/>
            <w:vAlign w:val="center"/>
          </w:tcPr>
          <w:p>
            <w:pPr>
              <w:spacing w:line="276" w:lineRule="auto"/>
              <w:jc w:val="center"/>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w:t>
            </w:r>
          </w:p>
        </w:tc>
        <w:tc>
          <w:tcPr>
            <w:tcW w:w="3879" w:type="dxa"/>
            <w:vAlign w:val="center"/>
          </w:tcPr>
          <w:p>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江苏盛和房地产股份有限公司2023-202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年度合作单位（工程检测）单项目</w:t>
            </w:r>
            <w:r>
              <w:rPr>
                <w:rFonts w:hint="eastAsia" w:ascii="宋体" w:hAnsi="宋体" w:eastAsia="宋体" w:cs="宋体"/>
                <w:color w:val="auto"/>
                <w:sz w:val="24"/>
                <w:szCs w:val="24"/>
                <w:highlight w:val="none"/>
                <w:lang w:val="en-US" w:eastAsia="zh-CN"/>
              </w:rPr>
              <w:t>桩基检测</w:t>
            </w:r>
            <w:r>
              <w:rPr>
                <w:rFonts w:hint="eastAsia" w:ascii="宋体" w:hAnsi="宋体" w:eastAsia="宋体" w:cs="宋体"/>
                <w:color w:val="auto"/>
                <w:sz w:val="24"/>
                <w:szCs w:val="24"/>
                <w:highlight w:val="none"/>
              </w:rPr>
              <w:t>收费</w:t>
            </w:r>
          </w:p>
        </w:tc>
        <w:tc>
          <w:tcPr>
            <w:tcW w:w="1813" w:type="dxa"/>
            <w:tcBorders>
              <w:bottom w:val="single" w:color="auto" w:sz="4" w:space="0"/>
            </w:tcBorders>
            <w:vAlign w:val="center"/>
          </w:tcPr>
          <w:p>
            <w:pPr>
              <w:spacing w:line="276" w:lineRule="auto"/>
              <w:jc w:val="center"/>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5</w:t>
            </w:r>
            <w:r>
              <w:rPr>
                <w:rFonts w:hint="eastAsia" w:ascii="宋体" w:hAnsi="宋体" w:eastAsia="宋体" w:cs="Times New Roman"/>
                <w:bCs/>
                <w:color w:val="auto"/>
                <w:kern w:val="0"/>
                <w:sz w:val="24"/>
                <w:szCs w:val="24"/>
                <w:highlight w:val="none"/>
              </w:rPr>
              <w:t>元/m2</w:t>
            </w:r>
          </w:p>
        </w:tc>
        <w:tc>
          <w:tcPr>
            <w:tcW w:w="1843" w:type="dxa"/>
            <w:tcBorders>
              <w:bottom w:val="single" w:color="auto" w:sz="4" w:space="0"/>
            </w:tcBorders>
            <w:vAlign w:val="center"/>
          </w:tcPr>
          <w:p>
            <w:pPr>
              <w:spacing w:line="276" w:lineRule="auto"/>
              <w:jc w:val="center"/>
              <w:rPr>
                <w:rFonts w:ascii="宋体" w:hAnsi="宋体" w:eastAsia="宋体" w:cs="Times New Roman"/>
                <w:bCs/>
                <w:color w:val="auto"/>
                <w:kern w:val="0"/>
                <w:sz w:val="24"/>
                <w:szCs w:val="24"/>
                <w:highlight w:val="none"/>
              </w:rPr>
            </w:pPr>
          </w:p>
        </w:tc>
      </w:tr>
    </w:tbl>
    <w:p>
      <w:pPr>
        <w:spacing w:line="276" w:lineRule="auto"/>
        <w:ind w:firstLine="360" w:firstLineChars="150"/>
        <w:jc w:val="left"/>
        <w:rPr>
          <w:rFonts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 xml:space="preserve">                                                  </w:t>
      </w:r>
    </w:p>
    <w:p>
      <w:pPr>
        <w:adjustRightInd w:val="0"/>
        <w:snapToGrid w:val="0"/>
        <w:spacing w:line="276" w:lineRule="auto"/>
        <w:jc w:val="center"/>
        <w:outlineLvl w:val="5"/>
        <w:rPr>
          <w:rFonts w:ascii="宋体" w:hAnsi="宋体" w:eastAsia="宋体" w:cs="Times New Roman"/>
          <w:bCs/>
          <w:color w:val="auto"/>
          <w:sz w:val="24"/>
          <w:szCs w:val="24"/>
          <w:highlight w:val="none"/>
        </w:rPr>
      </w:pPr>
    </w:p>
    <w:p>
      <w:pPr>
        <w:adjustRightInd w:val="0"/>
        <w:snapToGrid w:val="0"/>
        <w:spacing w:line="276" w:lineRule="auto"/>
        <w:jc w:val="center"/>
        <w:outlineLvl w:val="5"/>
        <w:rPr>
          <w:rFonts w:ascii="宋体" w:hAnsi="宋体" w:eastAsia="宋体" w:cs="Times New Roman"/>
          <w:bCs/>
          <w:color w:val="auto"/>
          <w:sz w:val="24"/>
          <w:szCs w:val="24"/>
          <w:highlight w:val="none"/>
        </w:rPr>
      </w:pPr>
    </w:p>
    <w:p>
      <w:pPr>
        <w:adjustRightInd w:val="0"/>
        <w:snapToGrid w:val="0"/>
        <w:spacing w:line="276" w:lineRule="auto"/>
        <w:jc w:val="right"/>
        <w:outlineLvl w:val="5"/>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 xml:space="preserve"> </w:t>
      </w:r>
      <w:r>
        <w:rPr>
          <w:rFonts w:ascii="宋体" w:hAnsi="宋体" w:eastAsia="宋体" w:cs="Times New Roman"/>
          <w:bCs/>
          <w:color w:val="auto"/>
          <w:sz w:val="24"/>
          <w:szCs w:val="24"/>
          <w:highlight w:val="none"/>
        </w:rPr>
        <w:t xml:space="preserve">  </w:t>
      </w:r>
    </w:p>
    <w:p>
      <w:pPr>
        <w:adjustRightInd w:val="0"/>
        <w:snapToGrid w:val="0"/>
        <w:spacing w:line="276" w:lineRule="auto"/>
        <w:jc w:val="right"/>
        <w:outlineLvl w:val="5"/>
        <w:rPr>
          <w:rFonts w:ascii="宋体" w:hAnsi="宋体" w:eastAsia="宋体" w:cs="Times New Roman"/>
          <w:bCs/>
          <w:color w:val="auto"/>
          <w:sz w:val="24"/>
          <w:szCs w:val="24"/>
          <w:highlight w:val="none"/>
          <w:u w:val="single"/>
        </w:rPr>
      </w:pPr>
      <w:r>
        <w:rPr>
          <w:rFonts w:ascii="宋体" w:hAnsi="宋体" w:eastAsia="宋体" w:cs="Times New Roman"/>
          <w:bCs/>
          <w:color w:val="auto"/>
          <w:sz w:val="24"/>
          <w:szCs w:val="24"/>
          <w:highlight w:val="none"/>
        </w:rPr>
        <w:t xml:space="preserve">     </w:t>
      </w:r>
      <w:r>
        <w:rPr>
          <w:rFonts w:hint="eastAsia" w:ascii="宋体" w:hAnsi="宋体" w:eastAsia="宋体" w:cs="Times New Roman"/>
          <w:bCs/>
          <w:color w:val="auto"/>
          <w:sz w:val="24"/>
          <w:szCs w:val="24"/>
          <w:highlight w:val="none"/>
          <w:lang w:val="en-US" w:eastAsia="zh-CN"/>
        </w:rPr>
        <w:t xml:space="preserve">  </w:t>
      </w:r>
      <w:r>
        <w:rPr>
          <w:rFonts w:hint="eastAsia" w:ascii="宋体" w:hAnsi="宋体" w:eastAsia="宋体" w:cs="Times New Roman"/>
          <w:bCs/>
          <w:color w:val="auto"/>
          <w:sz w:val="24"/>
          <w:szCs w:val="24"/>
          <w:highlight w:val="none"/>
        </w:rPr>
        <w:t>申 请 人：</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lang w:val="en-US" w:eastAsia="zh-CN"/>
        </w:rPr>
        <w:t xml:space="preserve"> </w:t>
      </w:r>
      <w:r>
        <w:rPr>
          <w:rFonts w:hint="eastAsia" w:ascii="宋体" w:hAnsi="宋体" w:eastAsia="宋体" w:cs="Times New Roman"/>
          <w:bCs/>
          <w:color w:val="auto"/>
          <w:sz w:val="24"/>
          <w:szCs w:val="24"/>
          <w:highlight w:val="none"/>
          <w:u w:val="single"/>
        </w:rPr>
        <w:t xml:space="preserve">       （盖单位公章）</w:t>
      </w:r>
    </w:p>
    <w:p>
      <w:pPr>
        <w:adjustRightInd w:val="0"/>
        <w:snapToGrid w:val="0"/>
        <w:spacing w:line="276" w:lineRule="auto"/>
        <w:jc w:val="left"/>
        <w:outlineLvl w:val="5"/>
        <w:rPr>
          <w:rFonts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rPr>
        <w:t xml:space="preserve">   </w:t>
      </w:r>
      <w:r>
        <w:rPr>
          <w:rFonts w:ascii="宋体" w:hAnsi="宋体" w:eastAsia="宋体" w:cs="Times New Roman"/>
          <w:bCs/>
          <w:color w:val="auto"/>
          <w:sz w:val="24"/>
          <w:szCs w:val="24"/>
          <w:highlight w:val="none"/>
        </w:rPr>
        <w:t xml:space="preserve">                   </w:t>
      </w:r>
      <w:r>
        <w:rPr>
          <w:rFonts w:hint="eastAsia" w:ascii="宋体" w:hAnsi="宋体" w:eastAsia="宋体" w:cs="Times New Roman"/>
          <w:bCs/>
          <w:color w:val="auto"/>
          <w:sz w:val="24"/>
          <w:szCs w:val="24"/>
          <w:highlight w:val="none"/>
        </w:rPr>
        <w:t>单位地址：</w:t>
      </w:r>
      <w:r>
        <w:rPr>
          <w:rFonts w:hint="eastAsia" w:ascii="宋体" w:hAnsi="宋体" w:eastAsia="宋体" w:cs="Times New Roman"/>
          <w:bCs/>
          <w:color w:val="auto"/>
          <w:sz w:val="24"/>
          <w:szCs w:val="24"/>
          <w:highlight w:val="none"/>
          <w:u w:val="single"/>
        </w:rPr>
        <w:t xml:space="preserve">                                        </w:t>
      </w:r>
    </w:p>
    <w:p>
      <w:pPr>
        <w:adjustRightInd w:val="0"/>
        <w:snapToGrid w:val="0"/>
        <w:spacing w:line="276" w:lineRule="auto"/>
        <w:jc w:val="left"/>
        <w:outlineLvl w:val="5"/>
        <w:rPr>
          <w:rFonts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rPr>
        <w:t xml:space="preserve">        </w:t>
      </w:r>
      <w:r>
        <w:rPr>
          <w:rFonts w:ascii="宋体" w:hAnsi="宋体" w:eastAsia="宋体" w:cs="Times New Roman"/>
          <w:bCs/>
          <w:color w:val="auto"/>
          <w:sz w:val="24"/>
          <w:szCs w:val="24"/>
          <w:highlight w:val="none"/>
        </w:rPr>
        <w:t xml:space="preserve">              </w:t>
      </w:r>
      <w:r>
        <w:rPr>
          <w:rFonts w:hint="eastAsia" w:ascii="宋体" w:hAnsi="宋体" w:eastAsia="宋体" w:cs="Times New Roman"/>
          <w:bCs/>
          <w:color w:val="auto"/>
          <w:sz w:val="24"/>
          <w:szCs w:val="24"/>
          <w:highlight w:val="none"/>
        </w:rPr>
        <w:t>法定代表人或其委托代理人：</w:t>
      </w:r>
      <w:r>
        <w:rPr>
          <w:rFonts w:hint="eastAsia" w:ascii="宋体" w:hAnsi="宋体" w:eastAsia="宋体" w:cs="Times New Roman"/>
          <w:bCs/>
          <w:color w:val="auto"/>
          <w:sz w:val="24"/>
          <w:szCs w:val="24"/>
          <w:highlight w:val="none"/>
          <w:u w:val="single"/>
        </w:rPr>
        <w:t xml:space="preserve">      （签字或盖章）</w:t>
      </w:r>
    </w:p>
    <w:p>
      <w:pPr>
        <w:adjustRightInd w:val="0"/>
        <w:snapToGrid w:val="0"/>
        <w:spacing w:line="276" w:lineRule="auto"/>
        <w:ind w:firstLine="2640" w:firstLineChars="1100"/>
        <w:outlineLvl w:val="5"/>
        <w:rPr>
          <w:rFonts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rPr>
        <w:t>电话：</w:t>
      </w:r>
      <w:r>
        <w:rPr>
          <w:rFonts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rPr>
        <w:t xml:space="preserve">         </w:t>
      </w:r>
    </w:p>
    <w:p>
      <w:pPr>
        <w:adjustRightInd w:val="0"/>
        <w:snapToGrid w:val="0"/>
        <w:spacing w:line="276" w:lineRule="auto"/>
        <w:ind w:right="960"/>
        <w:jc w:val="center"/>
        <w:outlineLvl w:val="5"/>
        <w:rPr>
          <w:rFonts w:ascii="宋体" w:hAnsi="宋体" w:eastAsia="宋体" w:cs="Times New Roman"/>
          <w:bCs/>
          <w:color w:val="auto"/>
          <w:sz w:val="24"/>
          <w:szCs w:val="24"/>
          <w:highlight w:val="none"/>
        </w:rPr>
      </w:pPr>
      <w:r>
        <w:rPr>
          <w:rFonts w:ascii="宋体" w:hAnsi="宋体" w:eastAsia="宋体" w:cs="Times New Roman"/>
          <w:bCs/>
          <w:color w:val="auto"/>
          <w:sz w:val="24"/>
          <w:szCs w:val="24"/>
          <w:highlight w:val="none"/>
        </w:rPr>
        <w:t xml:space="preserve">                    </w:t>
      </w:r>
      <w:r>
        <w:rPr>
          <w:rFonts w:hint="eastAsia" w:ascii="宋体" w:hAnsi="宋体" w:eastAsia="宋体" w:cs="Times New Roman"/>
          <w:bCs/>
          <w:color w:val="auto"/>
          <w:sz w:val="24"/>
          <w:szCs w:val="24"/>
          <w:highlight w:val="none"/>
        </w:rPr>
        <w:t>日期：</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日</w:t>
      </w:r>
    </w:p>
    <w:p>
      <w:pPr>
        <w:spacing w:line="360" w:lineRule="auto"/>
        <w:rPr>
          <w:rFonts w:ascii="宋体" w:hAnsi="宋体" w:eastAsia="宋体"/>
          <w:color w:val="auto"/>
          <w:sz w:val="24"/>
          <w:szCs w:val="24"/>
          <w:highlight w:val="none"/>
        </w:rPr>
      </w:pPr>
    </w:p>
    <w:p>
      <w:pPr>
        <w:pStyle w:val="6"/>
        <w:rPr>
          <w:rFonts w:ascii="宋体" w:hAnsi="宋体" w:eastAsia="宋体"/>
          <w:color w:val="auto"/>
          <w:sz w:val="24"/>
          <w:szCs w:val="24"/>
          <w:highlight w:val="none"/>
        </w:rPr>
      </w:pPr>
    </w:p>
    <w:p>
      <w:pPr>
        <w:rPr>
          <w:rFonts w:ascii="宋体" w:hAnsi="宋体" w:eastAsia="宋体"/>
          <w:color w:val="auto"/>
          <w:sz w:val="24"/>
          <w:szCs w:val="24"/>
          <w:highlight w:val="none"/>
        </w:rPr>
      </w:pPr>
    </w:p>
    <w:p>
      <w:pPr>
        <w:pStyle w:val="6"/>
        <w:rPr>
          <w:rFonts w:ascii="宋体" w:hAnsi="宋体" w:eastAsia="宋体"/>
          <w:color w:val="auto"/>
          <w:sz w:val="24"/>
          <w:szCs w:val="24"/>
          <w:highlight w:val="none"/>
        </w:rPr>
      </w:pPr>
    </w:p>
    <w:p>
      <w:pPr>
        <w:rPr>
          <w:rFonts w:ascii="宋体" w:hAnsi="宋体" w:eastAsia="宋体"/>
          <w:color w:val="auto"/>
          <w:sz w:val="24"/>
          <w:szCs w:val="24"/>
          <w:highlight w:val="none"/>
        </w:rPr>
      </w:pPr>
    </w:p>
    <w:p>
      <w:pPr>
        <w:pStyle w:val="6"/>
        <w:rPr>
          <w:rFonts w:ascii="宋体" w:hAnsi="宋体" w:eastAsia="宋体"/>
          <w:color w:val="auto"/>
          <w:sz w:val="24"/>
          <w:szCs w:val="24"/>
          <w:highlight w:val="none"/>
        </w:rPr>
      </w:pPr>
    </w:p>
    <w:p>
      <w:pPr>
        <w:rPr>
          <w:rFonts w:ascii="宋体" w:hAnsi="宋体" w:eastAsia="宋体"/>
          <w:color w:val="auto"/>
          <w:sz w:val="24"/>
          <w:szCs w:val="24"/>
          <w:highlight w:val="none"/>
        </w:rPr>
      </w:pPr>
    </w:p>
    <w:p>
      <w:pPr>
        <w:pStyle w:val="6"/>
        <w:rPr>
          <w:rFonts w:ascii="宋体" w:hAnsi="宋体" w:eastAsia="宋体"/>
          <w:color w:val="auto"/>
          <w:sz w:val="24"/>
          <w:szCs w:val="24"/>
          <w:highlight w:val="none"/>
        </w:rPr>
      </w:pPr>
    </w:p>
    <w:p>
      <w:pPr>
        <w:rPr>
          <w:rFonts w:ascii="宋体" w:hAnsi="宋体" w:eastAsia="宋体"/>
          <w:color w:val="auto"/>
          <w:sz w:val="24"/>
          <w:szCs w:val="24"/>
          <w:highlight w:val="none"/>
        </w:rPr>
      </w:pPr>
    </w:p>
    <w:p>
      <w:pPr>
        <w:pStyle w:val="6"/>
        <w:rPr>
          <w:rFonts w:ascii="宋体" w:hAnsi="宋体" w:eastAsia="宋体"/>
          <w:color w:val="auto"/>
          <w:sz w:val="24"/>
          <w:szCs w:val="24"/>
          <w:highlight w:val="none"/>
        </w:rPr>
      </w:pPr>
    </w:p>
    <w:p>
      <w:pPr>
        <w:rPr>
          <w:rFonts w:ascii="宋体" w:hAnsi="宋体" w:eastAsia="宋体"/>
          <w:color w:val="auto"/>
          <w:sz w:val="24"/>
          <w:szCs w:val="24"/>
          <w:highlight w:val="none"/>
        </w:rPr>
      </w:pPr>
    </w:p>
    <w:p>
      <w:pPr>
        <w:pStyle w:val="6"/>
        <w:rPr>
          <w:rFonts w:ascii="宋体" w:hAnsi="宋体" w:eastAsia="宋体"/>
          <w:color w:val="auto"/>
          <w:sz w:val="24"/>
          <w:szCs w:val="24"/>
          <w:highlight w:val="none"/>
        </w:rPr>
      </w:pPr>
    </w:p>
    <w:p>
      <w:pPr>
        <w:rPr>
          <w:rFonts w:ascii="宋体" w:hAnsi="宋体" w:eastAsia="宋体"/>
          <w:color w:val="auto"/>
          <w:sz w:val="24"/>
          <w:szCs w:val="24"/>
          <w:highlight w:val="none"/>
        </w:rPr>
      </w:pPr>
    </w:p>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Theme="minorEastAsia" w:hAnsiTheme="minorEastAsia" w:eastAsiaTheme="minorEastAsia" w:cstheme="minorEastAsia"/>
          <w:b/>
          <w:bCs w:val="0"/>
          <w:color w:val="auto"/>
          <w:kern w:val="2"/>
          <w:sz w:val="36"/>
          <w:szCs w:val="36"/>
          <w:highlight w:val="none"/>
          <w:lang w:val="en-US" w:eastAsia="zh-CN" w:bidi="ar-SA"/>
        </w:rPr>
      </w:pPr>
      <w:bookmarkStart w:id="14" w:name="_Toc4399"/>
      <w:r>
        <w:rPr>
          <w:rFonts w:hint="eastAsia" w:asciiTheme="minorEastAsia" w:hAnsiTheme="minorEastAsia" w:eastAsiaTheme="minorEastAsia" w:cstheme="minorEastAsia"/>
          <w:b/>
          <w:bCs w:val="0"/>
          <w:color w:val="auto"/>
          <w:kern w:val="2"/>
          <w:sz w:val="36"/>
          <w:szCs w:val="36"/>
          <w:highlight w:val="none"/>
          <w:lang w:val="en-US" w:eastAsia="zh-CN" w:bidi="ar-SA"/>
        </w:rPr>
        <w:t>第三章  质量检测委托合同</w:t>
      </w:r>
      <w:bookmarkEnd w:id="14"/>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委托方（以下简称甲方）：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承接方（以下简称乙方）：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 xml:space="preserve"> </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经甲、乙双方友好协商，甲方将以下工程的质量检测工作委托给乙方承担，特订立本合同。</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地块项目大区工程质量检测</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二、对本项目施工范围进行见证取样检测、专项检测、备案检测等其他一切需招标人委托第三方检测机构进行检测的必检项目，</w:t>
      </w:r>
      <w:r>
        <w:rPr>
          <w:rFonts w:hint="eastAsia" w:ascii="宋体" w:hAnsi="宋体" w:eastAsia="宋体" w:cs="宋体"/>
          <w:color w:val="auto"/>
          <w:sz w:val="24"/>
          <w:szCs w:val="24"/>
          <w:highlight w:val="none"/>
          <w:lang w:val="en-US" w:eastAsia="zh-Hans"/>
        </w:rPr>
        <w:t>投标人无法完成检测的项目由投标人自行委托有资质的检测机构进行检测，</w:t>
      </w:r>
      <w:r>
        <w:rPr>
          <w:rFonts w:hint="eastAsia" w:ascii="宋体" w:hAnsi="宋体" w:eastAsia="宋体" w:cs="宋体"/>
          <w:color w:val="auto"/>
          <w:sz w:val="24"/>
          <w:szCs w:val="24"/>
          <w:highlight w:val="none"/>
        </w:rPr>
        <w:t>招标人保留对工作量进行变更或增减的权利。</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本项目检测的内容包括项目的所有检测内容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包括但不限于以下内容：</w:t>
      </w:r>
    </w:p>
    <w:p>
      <w:pPr>
        <w:spacing w:line="360" w:lineRule="auto"/>
        <w:ind w:firstLine="482" w:firstLineChars="200"/>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1．工程质量检测：</w:t>
      </w:r>
      <w:r>
        <w:rPr>
          <w:rFonts w:hint="eastAsia" w:ascii="宋体" w:hAnsi="宋体" w:eastAsia="宋体" w:cs="宋体"/>
          <w:bCs/>
          <w:color w:val="auto"/>
          <w:sz w:val="24"/>
          <w:szCs w:val="24"/>
          <w:highlight w:val="none"/>
        </w:rPr>
        <w:t>（1）见证取样材料检测（水泥、砂石集料、钢筋、混凝土、砂浆、外加剂、粉煤灰、钢绞线、波纹管等）；</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（2）主体（混凝土结构和构件实体、后置埋件）；</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（3）钢结构检测（钢结构工程用材、焊缝探伤等）；</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（4）建筑节能（无机保温材料，塑料保温板、聚氨酯保温板、玻璃棉、橡塑绝热材料、岩棉保温材料等）保温绝热材料检测；</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（5）建筑节能系统现场检测（锚钉、保温层、抗裂抹面层、饰面砖拉拔等）；</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（6）现场内墙粉刷砂浆粘结强度拉拔；</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（7）建筑节能结构实体检测；</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（8）现场热工、现场门窗及门窗幕墙型材检测；门窗幕墙中空玻璃露点检测；</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（9）结构胶耐候胶相容性、耐污染性及力学性能；</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（10）建筑装饰材料（地板、涂料、饰面石材、陶瓷砖、不锈钢管等）检测；</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（11）防水涂料、卷材、止水带、膨胀橡胶、水泥基刚性防水材料等防水材料、接缝材料检测；</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（12）给排水管材、电线电缆、电工套管等水电材料检测；</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（14）室内环境检测</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室内声环境检测</w:t>
      </w:r>
      <w:r>
        <w:rPr>
          <w:rFonts w:hint="eastAsia" w:ascii="宋体" w:hAnsi="宋体" w:eastAsia="宋体" w:cs="宋体"/>
          <w:bCs/>
          <w:color w:val="auto"/>
          <w:sz w:val="24"/>
          <w:szCs w:val="24"/>
          <w:highlight w:val="none"/>
        </w:rPr>
        <w:t>；</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（15）热工性能等；</w:t>
      </w:r>
    </w:p>
    <w:p>
      <w:pPr>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（16）水质检测（按相关规范执行）</w:t>
      </w:r>
      <w:r>
        <w:rPr>
          <w:rFonts w:hint="eastAsia" w:ascii="宋体" w:hAnsi="宋体" w:eastAsia="宋体" w:cs="宋体"/>
          <w:bCs/>
          <w:color w:val="auto"/>
          <w:sz w:val="24"/>
          <w:szCs w:val="24"/>
          <w:highlight w:val="none"/>
          <w:lang w:eastAsia="zh-CN"/>
        </w:rPr>
        <w:t>；</w:t>
      </w:r>
    </w:p>
    <w:p>
      <w:pPr>
        <w:pStyle w:val="14"/>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17）太阳能检测；</w:t>
      </w:r>
    </w:p>
    <w:p>
      <w:pPr>
        <w:pStyle w:val="14"/>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（18）智能建筑等。</w:t>
      </w:r>
    </w:p>
    <w:p>
      <w:pPr>
        <w:spacing w:line="360" w:lineRule="auto"/>
        <w:ind w:firstLine="482" w:firstLineChars="200"/>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2．桩基检测</w:t>
      </w:r>
      <w:r>
        <w:rPr>
          <w:rFonts w:hint="eastAsia" w:ascii="宋体" w:hAnsi="宋体" w:eastAsia="宋体" w:cs="宋体"/>
          <w:color w:val="auto"/>
          <w:sz w:val="24"/>
          <w:szCs w:val="24"/>
          <w:highlight w:val="none"/>
        </w:rPr>
        <w:t>包括静载检测、高应变、低应变、焊缝探伤</w:t>
      </w:r>
      <w:r>
        <w:rPr>
          <w:rFonts w:hint="eastAsia" w:ascii="宋体" w:hAnsi="宋体" w:eastAsia="宋体" w:cs="宋体"/>
          <w:bCs/>
          <w:color w:val="auto"/>
          <w:sz w:val="24"/>
          <w:szCs w:val="24"/>
          <w:highlight w:val="none"/>
        </w:rPr>
        <w:t>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三、基本信息</w:t>
      </w:r>
    </w:p>
    <w:tbl>
      <w:tblPr>
        <w:tblStyle w:val="1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871"/>
        <w:gridCol w:w="166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建设单位</w:t>
            </w:r>
          </w:p>
        </w:tc>
        <w:tc>
          <w:tcPr>
            <w:tcW w:w="722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监理单位</w:t>
            </w:r>
          </w:p>
        </w:tc>
        <w:tc>
          <w:tcPr>
            <w:tcW w:w="287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eastAsia="宋体" w:cs="宋体"/>
                <w:color w:val="auto"/>
                <w:sz w:val="24"/>
                <w:szCs w:val="24"/>
                <w:highlight w:val="none"/>
              </w:rPr>
            </w:pPr>
          </w:p>
        </w:tc>
        <w:tc>
          <w:tcPr>
            <w:tcW w:w="166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施工单位</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工程地址</w:t>
            </w:r>
          </w:p>
        </w:tc>
        <w:tc>
          <w:tcPr>
            <w:tcW w:w="28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p>
        </w:tc>
        <w:tc>
          <w:tcPr>
            <w:tcW w:w="166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联系人/电话</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结构类型</w:t>
            </w:r>
          </w:p>
        </w:tc>
        <w:tc>
          <w:tcPr>
            <w:tcW w:w="28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p>
        </w:tc>
        <w:tc>
          <w:tcPr>
            <w:tcW w:w="166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层数/面积</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四、双方的主要义务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1、甲方的主要义务：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1）按照本合同约定支付费用；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2）指定取样、送样、见证人员，保证样品符合有关标准规定并保证样品的真实性；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3）现场检测时提供必要的协助。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2、乙方的主要义务：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严格按规范、标准进行检测，确保数据公正、准确；甲方有要求时需提供检测方案；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2）按甲方的要求及时出具检测报告；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3）对甲方提供的机密信息和检测结果保密；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4）为甲方提供必要的检测咨询服务。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不合格检测项目实时提供信息。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6）乙方现场检测时应遵守工程安全管理及其他工程现场管理制度，并对其现场人员的安全负全责。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五、检测工作量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1、合同签订后，检测开展前，乙方须向甲方上报本项目检测方案（含具体清单明细），待甲方同意后，由甲方下达检测任务书，方可实施。检测任务书作为后续检测计量与结算的依据之一。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2、按实际发生委托量统计，不合格二次复试费用另行统计，因施工方原因导致工程量增加的费用由施工方承担。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3、乙方对甲方材料均现场取样抽样进行检测，甲方现场见证抽样量不小于总量的30%。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六、检测委托程序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1、材料由乙方现场取样，甲方提前通知，甲方及监理抽样封样见证并到乙方办理委托手续。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2、现场检测项目，甲方须提前一天以上通知乙方。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3、乙方如将业务分包必须征得甲方的同意，否则需按照甲方要求重新检测，因此增加的费用由乙方自行承担；且该情形下，甲方有权解除本合同，乙方需向甲方支付3万元违约金。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4、每次送样或乙方现场检测，甲方需填写检测委托书，明确样品的相关信息及检测要求。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5、需见证取样送样的检测样品，办理委托时应执行相应规定。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6、报告发放由甲方指定专人进行签字领取。不合格检测信息乙方需及时通知甲方专人。甲方联络人为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七、项目要求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成果内容：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①成果具体内容：每次检测完成后的具体检测报告</w:t>
      </w:r>
      <w:r>
        <w:rPr>
          <w:rFonts w:hint="eastAsia" w:ascii="宋体" w:hAnsi="宋体" w:eastAsia="宋体" w:cs="宋体"/>
          <w:color w:val="0000FF"/>
          <w:sz w:val="24"/>
          <w:szCs w:val="24"/>
          <w:highlight w:val="none"/>
        </w:rPr>
        <w:t>（原始件壹份、 报告合并装订）</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时间要求：保证满足现场施工进度需要，一般情况下自委托日起七个工作日内（不含委托日）应完成检测工作，特殊情况应不超过十四个工作日（不含委托日）完成检测工作；并在完成检测工作后两天内出具检测报告，根据施工进度情况，在检测完成后三天内出具中间报告，否则乙方需按照本合同约定承担逾期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八、合同价款和支付方式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1、取费标准：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桩基检测项目</w:t>
      </w:r>
      <w:r>
        <w:rPr>
          <w:rFonts w:hint="eastAsia" w:ascii="宋体" w:hAnsi="宋体" w:eastAsia="宋体" w:cs="宋体"/>
          <w:color w:val="auto"/>
          <w:sz w:val="24"/>
          <w:szCs w:val="24"/>
          <w:highlight w:val="none"/>
          <w:lang w:val="en-US" w:eastAsia="zh-CN"/>
        </w:rPr>
        <w:t>取费标准</w:t>
      </w:r>
      <w:r>
        <w:rPr>
          <w:rFonts w:hint="eastAsia" w:ascii="宋体" w:hAnsi="宋体" w:eastAsia="宋体" w:cs="宋体"/>
          <w:color w:val="auto"/>
          <w:sz w:val="24"/>
          <w:szCs w:val="24"/>
          <w:highlight w:val="none"/>
        </w:rPr>
        <w:t>如下表所示：</w:t>
      </w:r>
    </w:p>
    <w:tbl>
      <w:tblPr>
        <w:tblStyle w:val="16"/>
        <w:tblW w:w="7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2688"/>
        <w:gridCol w:w="822"/>
        <w:gridCol w:w="1952"/>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工作内容</w:t>
            </w:r>
          </w:p>
        </w:tc>
        <w:tc>
          <w:tcPr>
            <w:tcW w:w="82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最高限价（单价/元）</w:t>
            </w:r>
          </w:p>
        </w:tc>
        <w:tc>
          <w:tcPr>
            <w:tcW w:w="161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7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工程桩抗压静载（主楼）</w:t>
            </w:r>
          </w:p>
        </w:tc>
        <w:tc>
          <w:tcPr>
            <w:tcW w:w="82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t</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w:t>
            </w:r>
          </w:p>
        </w:tc>
        <w:tc>
          <w:tcPr>
            <w:tcW w:w="161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7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工程桩抗拔静载（地库）</w:t>
            </w:r>
          </w:p>
        </w:tc>
        <w:tc>
          <w:tcPr>
            <w:tcW w:w="82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2000</w:t>
            </w:r>
          </w:p>
        </w:tc>
        <w:tc>
          <w:tcPr>
            <w:tcW w:w="161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7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高应变</w:t>
            </w:r>
          </w:p>
        </w:tc>
        <w:tc>
          <w:tcPr>
            <w:tcW w:w="82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2000</w:t>
            </w:r>
          </w:p>
        </w:tc>
        <w:tc>
          <w:tcPr>
            <w:tcW w:w="161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低应变</w:t>
            </w:r>
          </w:p>
        </w:tc>
        <w:tc>
          <w:tcPr>
            <w:tcW w:w="82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161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7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焊缝探伤</w:t>
            </w:r>
          </w:p>
        </w:tc>
        <w:tc>
          <w:tcPr>
            <w:tcW w:w="82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次</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800</w:t>
            </w:r>
          </w:p>
        </w:tc>
        <w:tc>
          <w:tcPr>
            <w:tcW w:w="161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bl>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rPr>
        <w:t>检测费单价取费报价依据：计价基数为2001年《江苏省建设工程质量检测和建筑材料试验收费标准》（苏价服[2001]113号）、江苏省建设工程造价管理总站《关于建设工程检测费用列支问题的答复》（苏建价函[2006]91号）、《南通市建设工程质量检测行业工程质量检测和建筑材料试验收费参考价格》（通工协[2016]第8号）（含相关补充文件）的取费标准，南通市工程建设协会印发《南通市建设工程质量检测行业新增部分检测项目检测服务收费参考价格》的通知（通工协{2018}第2号）、南通市工程建设协会关于印发《南通市建设工程质量检测行业新增部分检测项目检测服务收费参考价格》的通知（通工协[2019]第1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南通市工程建设协会关于印发《南通市建设工程质量检测行业新增部分检测项目检测服务收费参考价格》的通知（通工协[20</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]第1号）。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桩基检测费=</w:t>
      </w:r>
      <w:r>
        <w:rPr>
          <w:rFonts w:hint="eastAsia" w:ascii="宋体" w:hAnsi="宋体" w:eastAsia="宋体" w:cs="宋体"/>
          <w:color w:val="auto"/>
          <w:sz w:val="24"/>
          <w:szCs w:val="24"/>
          <w:highlight w:val="none"/>
        </w:rPr>
        <w:t>计价基数*中标的检测费率</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rPr>
        <w:t>试验检测费=计价基数*中标的检测费率。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乙方在此取费标准基础上乘以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该折扣</w:t>
      </w:r>
      <w:r>
        <w:rPr>
          <w:rFonts w:hint="eastAsia" w:ascii="宋体" w:hAnsi="宋体" w:eastAsia="宋体" w:cs="宋体"/>
          <w:color w:val="auto"/>
          <w:sz w:val="24"/>
          <w:szCs w:val="24"/>
          <w:highlight w:val="none"/>
        </w:rPr>
        <w:t>为固定费率，结算时不作调整。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元）</w:t>
      </w:r>
      <w:r>
        <w:rPr>
          <w:rFonts w:hint="eastAsia" w:ascii="宋体" w:hAnsi="宋体" w:eastAsia="宋体" w:cs="宋体"/>
          <w:color w:val="auto"/>
          <w:sz w:val="24"/>
          <w:szCs w:val="24"/>
          <w:highlight w:val="none"/>
          <w:u w:val="singl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最终工程检测服务费的收取按实际检测项目收费执行，低于单项目工程检测合同总价的按实予以扣除；高于单项目工程检测合同总价的，按原合同总价结算，不再增加任何额外费用。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3、履约保证金：乙方必须在签订合同前向甲方交纳履约保证金，银行转账或银行履约保函，须从企业基本户银行出具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履约保证金金额</w:t>
      </w:r>
      <w:r>
        <w:rPr>
          <w:rFonts w:hint="eastAsia" w:ascii="宋体" w:hAnsi="宋体" w:eastAsia="宋体" w:cs="宋体"/>
          <w:color w:val="auto"/>
          <w:sz w:val="24"/>
          <w:szCs w:val="24"/>
          <w:highlight w:val="none"/>
          <w:lang w:val="en-US" w:eastAsia="zh-CN"/>
        </w:rPr>
        <w:t>合同总价5%</w:t>
      </w:r>
      <w:r>
        <w:rPr>
          <w:rFonts w:hint="eastAsia" w:ascii="宋体" w:hAnsi="宋体" w:eastAsia="宋体" w:cs="宋体"/>
          <w:color w:val="auto"/>
          <w:sz w:val="24"/>
          <w:szCs w:val="24"/>
          <w:highlight w:val="none"/>
        </w:rPr>
        <w:t>，在本合同履行完毕且双方无争议后1个月后由甲方无息返还。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4、支付方式：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本合同检测费用总数由发生的各项费用累计</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2）检测费由甲方支付，经双方友好协商，每季度</w:t>
      </w:r>
      <w:r>
        <w:rPr>
          <w:rFonts w:hint="eastAsia" w:ascii="宋体" w:hAnsi="宋体" w:eastAsia="宋体" w:cs="宋体"/>
          <w:color w:val="auto"/>
          <w:sz w:val="24"/>
          <w:szCs w:val="24"/>
          <w:highlight w:val="none"/>
          <w:lang w:val="en-US" w:eastAsia="zh-CN"/>
        </w:rPr>
        <w:t>支付</w:t>
      </w:r>
      <w:r>
        <w:rPr>
          <w:rFonts w:hint="eastAsia" w:ascii="宋体" w:hAnsi="宋体" w:eastAsia="宋体" w:cs="宋体"/>
          <w:color w:val="auto"/>
          <w:sz w:val="24"/>
          <w:szCs w:val="24"/>
          <w:highlight w:val="none"/>
        </w:rPr>
        <w:t>一次，按</w:t>
      </w:r>
      <w:r>
        <w:rPr>
          <w:rFonts w:hint="eastAsia" w:ascii="宋体" w:hAnsi="宋体" w:eastAsia="宋体" w:cs="宋体"/>
          <w:color w:val="auto"/>
          <w:sz w:val="24"/>
          <w:szCs w:val="24"/>
          <w:highlight w:val="none"/>
          <w:lang w:val="en-US" w:eastAsia="zh-CN"/>
        </w:rPr>
        <w:t>合同约定</w:t>
      </w:r>
      <w:r>
        <w:rPr>
          <w:rFonts w:hint="eastAsia" w:ascii="宋体" w:hAnsi="宋体" w:eastAsia="宋体" w:cs="宋体"/>
          <w:color w:val="auto"/>
          <w:sz w:val="24"/>
          <w:szCs w:val="24"/>
          <w:highlight w:val="none"/>
        </w:rPr>
        <w:t>的费率并结合有关收费标准按实</w:t>
      </w:r>
      <w:r>
        <w:rPr>
          <w:rFonts w:hint="eastAsia" w:ascii="宋体" w:hAnsi="宋体" w:eastAsia="宋体" w:cs="宋体"/>
          <w:color w:val="auto"/>
          <w:sz w:val="24"/>
          <w:szCs w:val="24"/>
          <w:highlight w:val="none"/>
          <w:lang w:val="en-US" w:eastAsia="zh-CN"/>
        </w:rPr>
        <w:t>计算实际发生</w:t>
      </w:r>
      <w:r>
        <w:rPr>
          <w:rFonts w:hint="eastAsia" w:ascii="宋体" w:hAnsi="宋体" w:eastAsia="宋体" w:cs="宋体"/>
          <w:color w:val="auto"/>
          <w:sz w:val="24"/>
          <w:szCs w:val="24"/>
          <w:highlight w:val="none"/>
        </w:rPr>
        <w:t>检测费用的基础上</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支付，支付至合同总价的70%后停止付款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其余尾款待项目竣工验收后一次性付清</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）每次申请款项时，承包人均需按照增值税相关规定提供增值税专用发票。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九、履行方式及期限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本合同的履行期限自开工之日开始，至工程竣工、甲方付清合同余款止。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十、公正廉洁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乙方所有检测人员均本着公正、廉洁的原则，为甲方提供优质、高效的服务，接受甲方对乙方检测行为的监督。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十一、违约条款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如未在甲方指定时间内完成检测并出具检测报告，超过3天的，按2000元向甲方支付违约金；超过6天的，按合同价的5%向甲方支付违约金。乙方出现3次（含3次）以上情形，甲方有权单方面解除本合同，并有权要求乙方支付违约金贰万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甲方发现乙方在检测过程中弄虚作假，篡改数据的，则甲方有权单方面解除本合同，全部检测费不予结算，甲方已支付的检测费乙方应在甲方指定的时限内全额退回，逾期按同期全国银行间同业拆借中心公布的贷款市场报价利率计算利息，且乙方对于甲方除承担损失赔偿责任之外，应另行向甲方支付违约金伍万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十二、争议解决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履行本合同如发生争议，应通过友好协商解决。如协商解决不成，提交</w:t>
      </w:r>
      <w:r>
        <w:rPr>
          <w:rFonts w:hint="eastAsia" w:ascii="宋体" w:hAnsi="宋体" w:eastAsia="宋体" w:cs="宋体"/>
          <w:color w:val="auto"/>
          <w:sz w:val="24"/>
          <w:szCs w:val="24"/>
          <w:highlight w:val="none"/>
          <w:u w:val="single"/>
        </w:rPr>
        <w:t>南通</w:t>
      </w:r>
      <w:r>
        <w:rPr>
          <w:rFonts w:hint="eastAsia" w:ascii="宋体" w:hAnsi="宋体" w:eastAsia="宋体" w:cs="宋体"/>
          <w:color w:val="auto"/>
          <w:sz w:val="24"/>
          <w:szCs w:val="24"/>
          <w:highlight w:val="none"/>
        </w:rPr>
        <w:t>仲裁委员会仲裁解决。裁决对双方当事人具有同等约束力。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、其它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1）本项目中如有个别检测项目乙方不能承检的，可经甲方同意后委托有资质的检测单位进行检测，费用包含在合同价中由乙方承担，不做任何调整。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2）本合同自双方签章之日起生效。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3）本合同未尽事宜由双方协商解决。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4）本合同一式</w:t>
      </w:r>
      <w:r>
        <w:rPr>
          <w:rFonts w:hint="eastAsia" w:ascii="宋体" w:hAnsi="宋体" w:eastAsia="宋体" w:cs="宋体"/>
          <w:color w:val="auto"/>
          <w:sz w:val="24"/>
          <w:szCs w:val="24"/>
          <w:highlight w:val="none"/>
          <w:u w:val="single"/>
        </w:rPr>
        <w:t xml:space="preserve"> 捌 </w:t>
      </w:r>
      <w:r>
        <w:rPr>
          <w:rFonts w:hint="eastAsia" w:ascii="宋体" w:hAnsi="宋体" w:eastAsia="宋体" w:cs="宋体"/>
          <w:color w:val="auto"/>
          <w:sz w:val="24"/>
          <w:szCs w:val="24"/>
          <w:highlight w:val="none"/>
        </w:rPr>
        <w:t>份，正本</w:t>
      </w:r>
      <w:r>
        <w:rPr>
          <w:rFonts w:hint="eastAsia" w:ascii="宋体" w:hAnsi="宋体" w:eastAsia="宋体" w:cs="宋体"/>
          <w:color w:val="auto"/>
          <w:sz w:val="24"/>
          <w:szCs w:val="24"/>
          <w:highlight w:val="none"/>
          <w:u w:val="single"/>
        </w:rPr>
        <w:t>贰</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陆</w:t>
      </w:r>
      <w:r>
        <w:rPr>
          <w:rFonts w:hint="eastAsia" w:ascii="宋体" w:hAnsi="宋体" w:eastAsia="宋体" w:cs="宋体"/>
          <w:color w:val="auto"/>
          <w:sz w:val="24"/>
          <w:szCs w:val="24"/>
          <w:highlight w:val="none"/>
        </w:rPr>
        <w:t>份，具有同等法律效力，委托方执</w:t>
      </w:r>
      <w:r>
        <w:rPr>
          <w:rFonts w:hint="eastAsia" w:ascii="宋体" w:hAnsi="宋体" w:eastAsia="宋体" w:cs="宋体"/>
          <w:color w:val="auto"/>
          <w:sz w:val="24"/>
          <w:szCs w:val="24"/>
          <w:highlight w:val="none"/>
          <w:u w:val="single"/>
        </w:rPr>
        <w:t xml:space="preserve"> 肆 </w:t>
      </w:r>
      <w:r>
        <w:rPr>
          <w:rFonts w:hint="eastAsia" w:ascii="宋体" w:hAnsi="宋体" w:eastAsia="宋体" w:cs="宋体"/>
          <w:color w:val="auto"/>
          <w:sz w:val="24"/>
          <w:szCs w:val="24"/>
          <w:highlight w:val="none"/>
        </w:rPr>
        <w:t xml:space="preserve">份，承接方执 </w:t>
      </w:r>
      <w:r>
        <w:rPr>
          <w:rFonts w:hint="eastAsia" w:ascii="宋体" w:hAnsi="宋体" w:eastAsia="宋体" w:cs="宋体"/>
          <w:color w:val="auto"/>
          <w:sz w:val="24"/>
          <w:szCs w:val="24"/>
          <w:highlight w:val="none"/>
          <w:u w:val="single"/>
        </w:rPr>
        <w:t xml:space="preserve">肆 </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pPr>
        <w:pStyle w:val="4"/>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color w:val="auto"/>
          <w:sz w:val="24"/>
          <w:szCs w:val="24"/>
          <w:highlight w:val="none"/>
          <w:lang w:eastAsia="zh-CN"/>
        </w:rPr>
        <w:t>以下无正文。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（盖章）                   承接方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（盖章）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              法定代表人：（签字）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或授权代表：（签字）              或授权代表：（签字）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                            地址：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电话：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合同签订时间：</w:t>
      </w:r>
      <w:r>
        <w:rPr>
          <w:rFonts w:hint="eastAsia" w:ascii="宋体" w:hAnsi="宋体" w:eastAsia="宋体" w:cs="宋体"/>
          <w:color w:val="auto"/>
          <w:sz w:val="24"/>
          <w:szCs w:val="24"/>
          <w:highlight w:val="none"/>
          <w:lang w:val="en-US" w:eastAsia="zh-CN"/>
        </w:rPr>
        <w:t>2023</w:t>
      </w:r>
      <w:r>
        <w:rPr>
          <w:rFonts w:hint="eastAsia" w:ascii="宋体" w:hAnsi="宋体" w:eastAsia="宋体" w:cs="宋体"/>
          <w:color w:val="auto"/>
          <w:sz w:val="24"/>
          <w:szCs w:val="24"/>
          <w:highlight w:val="none"/>
        </w:rPr>
        <w:t xml:space="preserve">年   月   日   </w:t>
      </w:r>
    </w:p>
    <w:p>
      <w:pPr>
        <w:spacing w:line="360" w:lineRule="auto"/>
        <w:ind w:firstLine="480" w:firstLineChars="200"/>
        <w:rPr>
          <w:rFonts w:hint="eastAsia" w:ascii="宋体" w:hAnsi="宋体" w:eastAsia="宋体" w:cs="宋体"/>
          <w:color w:val="auto"/>
          <w:sz w:val="24"/>
          <w:szCs w:val="24"/>
          <w:highlight w:val="none"/>
        </w:rPr>
      </w:pP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备注：招标人保留对合同微调的权利。</w:t>
      </w:r>
    </w:p>
    <w:p>
      <w:pPr>
        <w:rPr>
          <w:rFonts w:hint="eastAsia" w:ascii="宋体" w:hAnsi="宋体" w:eastAsia="宋体" w:cs="宋体"/>
          <w:color w:val="auto"/>
          <w:sz w:val="24"/>
          <w:szCs w:val="24"/>
          <w:highlight w:val="none"/>
        </w:rPr>
      </w:pPr>
    </w:p>
    <w:p>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color w:val="auto"/>
          <w:sz w:val="24"/>
          <w:szCs w:val="24"/>
          <w:highlight w:val="none"/>
          <w:lang w:val="en-US" w:eastAsia="zh-CN"/>
        </w:rPr>
      </w:pPr>
    </w:p>
    <w:p>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附件一：</w:t>
      </w:r>
      <w:r>
        <w:rPr>
          <w:rFonts w:hint="eastAsia" w:ascii="宋体" w:hAnsi="宋体" w:eastAsia="宋体" w:cs="宋体"/>
          <w:b w:val="0"/>
          <w:bCs w:val="0"/>
          <w:color w:val="auto"/>
          <w:sz w:val="24"/>
          <w:szCs w:val="24"/>
          <w:highlight w:val="none"/>
        </w:rPr>
        <w:t>廉政合同</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附件二：</w:t>
      </w:r>
      <w:r>
        <w:rPr>
          <w:rFonts w:hint="eastAsia" w:ascii="宋体" w:hAnsi="宋体" w:eastAsia="宋体" w:cs="宋体"/>
          <w:b w:val="0"/>
          <w:bCs w:val="0"/>
          <w:color w:val="auto"/>
          <w:sz w:val="24"/>
          <w:szCs w:val="24"/>
          <w:highlight w:val="none"/>
        </w:rPr>
        <w:t>安全生产合同</w:t>
      </w:r>
    </w:p>
    <w:p>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color w:val="auto"/>
          <w:sz w:val="24"/>
          <w:szCs w:val="24"/>
          <w:highlight w:val="none"/>
          <w:lang w:val="en-US" w:eastAsia="zh-CN"/>
        </w:rPr>
        <w:t>附件三：合同履约情况一览表</w:t>
      </w:r>
    </w:p>
    <w:p>
      <w:pPr>
        <w:rPr>
          <w:rFonts w:hint="eastAsia" w:asciiTheme="minorEastAsia" w:hAnsiTheme="minorEastAsia" w:eastAsiaTheme="minorEastAsia" w:cstheme="minorEastAsia"/>
          <w:color w:val="auto"/>
          <w:highlight w:val="none"/>
        </w:rPr>
      </w:pPr>
    </w:p>
    <w:p>
      <w:pPr>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p>
    <w:p>
      <w:pPr>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p>
    <w:p>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color w:val="auto"/>
          <w:sz w:val="24"/>
          <w:szCs w:val="24"/>
          <w:highlight w:val="none"/>
          <w:lang w:val="en-US" w:eastAsia="zh-CN"/>
        </w:rPr>
      </w:pPr>
    </w:p>
    <w:p>
      <w:pPr>
        <w:rPr>
          <w:rFonts w:hint="eastAsia"/>
          <w:lang w:val="en-US" w:eastAsia="zh-CN"/>
        </w:rPr>
      </w:pPr>
    </w:p>
    <w:p>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附件一：</w:t>
      </w:r>
    </w:p>
    <w:p>
      <w:pPr>
        <w:spacing w:after="120" w:afterLines="50" w:line="360" w:lineRule="auto"/>
        <w:ind w:firstLine="720" w:firstLineChars="200"/>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廉政合同</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为做好工程建设中的党风廉政建设，保证工程建设高效优质，保证建设资金的安全和有效使用以及投资效益，</w:t>
      </w:r>
      <w:r>
        <w:rPr>
          <w:rFonts w:hint="eastAsia" w:ascii="宋体" w:hAnsi="宋体" w:eastAsia="宋体" w:cs="宋体"/>
          <w:color w:val="auto"/>
          <w:kern w:val="0"/>
          <w:sz w:val="24"/>
          <w:szCs w:val="24"/>
          <w:highlight w:val="none"/>
          <w:u w:val="single"/>
        </w:rPr>
        <w:t xml:space="preserve">                   （项目名称）</w:t>
      </w:r>
      <w:r>
        <w:rPr>
          <w:rFonts w:hint="eastAsia" w:ascii="宋体" w:hAnsi="宋体" w:eastAsia="宋体" w:cs="宋体"/>
          <w:color w:val="auto"/>
          <w:sz w:val="24"/>
          <w:szCs w:val="24"/>
          <w:highlight w:val="none"/>
        </w:rPr>
        <w:t>的委托人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（以下称委托人）与试验检测人                </w:t>
      </w:r>
      <w:r>
        <w:rPr>
          <w:rFonts w:hint="eastAsia" w:ascii="宋体" w:hAnsi="宋体" w:eastAsia="宋体" w:cs="宋体"/>
          <w:color w:val="auto"/>
          <w:sz w:val="24"/>
          <w:szCs w:val="24"/>
          <w:highlight w:val="none"/>
        </w:rPr>
        <w:t>（以下称试验检测人），特订立如下合同。</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第一条 </w:t>
      </w:r>
      <w:r>
        <w:rPr>
          <w:rFonts w:hint="eastAsia" w:ascii="宋体" w:hAnsi="宋体" w:eastAsia="宋体" w:cs="宋体"/>
          <w:color w:val="auto"/>
          <w:sz w:val="24"/>
          <w:szCs w:val="24"/>
          <w:highlight w:val="none"/>
        </w:rPr>
        <w:t>甲乙双方的权利和义务</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（一）严格遵守党和国家有关法律法规及交通部的有关规定。</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（二）严格执行</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rPr>
        <w:t>检测的合同文件，自觉按合同办事。</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（三）双方的业务活动坚持公开、公正、诚信、透明的原则（除法律认定的商业秘密和合同文件另有规定之外），不得损害国家和集体利益，违反工程建设管理规章制度。</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（四）建立健全廉政制度，开展廉政教育，设立廉政告示牌，公布举报电话，监督并认真查处违法违纪行为。</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（五）发现对方在业务活动中有违反廉政规定的行为，有及时提醒对方纠正的权利和义务。</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（六）发现对方严重违反本合同义务条款的行为，有向其上级有关部门举报、建议给予处理并要求告知处理结果的权利。</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第二条 </w:t>
      </w:r>
      <w:r>
        <w:rPr>
          <w:rFonts w:hint="eastAsia" w:ascii="宋体" w:hAnsi="宋体" w:eastAsia="宋体" w:cs="宋体"/>
          <w:color w:val="auto"/>
          <w:sz w:val="24"/>
          <w:szCs w:val="24"/>
          <w:highlight w:val="none"/>
        </w:rPr>
        <w:t>委托人的义务</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（一）委托人及其工作人员不得索要或接受试验检测人的礼金、有价证券和贵重物品，不得在试验检测人报销任何应由委托人或个人支付的费用等。</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（二）委托人工作人员不得参加试验检测人安排的超标准宴请和娱乐活动；不得接受试验检测人提供的通讯工具、交通工具和高档办公用品等。</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（三）委托人及其工作人员不得要求或者接受试验检测人为其住房装修、婚丧嫁娶活动、配偶子女的工作安排以及出国出境、旅游等提供方便等。</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（四）委托人工作人员的配偶、子女不得从事与委托人工程有关的检测分包项目。</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第三条 </w:t>
      </w:r>
      <w:r>
        <w:rPr>
          <w:rFonts w:hint="eastAsia" w:ascii="宋体" w:hAnsi="宋体" w:eastAsia="宋体" w:cs="宋体"/>
          <w:color w:val="auto"/>
          <w:sz w:val="24"/>
          <w:szCs w:val="24"/>
          <w:highlight w:val="none"/>
        </w:rPr>
        <w:t>试验检测人义务</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（一）试验检测人不得以任何理由向委托人及其工作人员行贿或馈赠礼金、有价证券、贵重礼品。</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（二）试验检测人不得以任何名义为委托人及其工作人员报销应由委托人单位或个人支付的任何费用。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（三）试验检测人不得以任何理由安排委托人工作人员参加超标准宴请及娱乐活动。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（四）试验检测人不得为委托人单位和个人购置或提供通讯工具、交通工具和高档办公用品等。</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（五）试验检测人及其工作人员不得索取或接受工作关系单位的礼金、有价证券和贵重物品，不得在工作关系报销任何应由试验检测人或个人支付的费用。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（六）试验检测人及其工作人员必须严格按照检测规程办事，不得损害委托人利益。</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第四条 </w:t>
      </w:r>
      <w:r>
        <w:rPr>
          <w:rFonts w:hint="eastAsia" w:ascii="宋体" w:hAnsi="宋体" w:eastAsia="宋体" w:cs="宋体"/>
          <w:color w:val="auto"/>
          <w:sz w:val="24"/>
          <w:szCs w:val="24"/>
          <w:highlight w:val="none"/>
        </w:rPr>
        <w:t>违约责任</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（一）委托人及其工作人员违反本合同第一、二条；按管理权限，依据有关规定给予党纪、政纪或组织处理；涉嫌犯罪的，移交司法机关追究刑事责任；给试验检测人单位造成经济损失的，应予以赔偿。</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试验检测人及其工作人员违反本合同第一、三条，按管理权限依据有关规定，给予党纪、政纪或组织处理；给委托人单位造成经济损失的，应予以赔偿；情节严重的，委托人建议交通工程建设主管部门给予试验检测人一至三年内不得进入其主管的交通工程建设市场的处罚。</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第五条 </w:t>
      </w:r>
      <w:r>
        <w:rPr>
          <w:rFonts w:hint="eastAsia" w:ascii="宋体" w:hAnsi="宋体" w:eastAsia="宋体" w:cs="宋体"/>
          <w:color w:val="auto"/>
          <w:sz w:val="24"/>
          <w:szCs w:val="24"/>
          <w:highlight w:val="none"/>
        </w:rPr>
        <w:t>双方约定：本合同由双方或双方上级单位的纪检监察机关负责监督执行。由委托人或委托人上级单位的纪检监察机关约请试验检测人或试验检测人上级单位纪检监察机关对本合同执行情况进行检查；提出在本合同规定范围内的裁定意见。</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第六条 </w:t>
      </w:r>
      <w:r>
        <w:rPr>
          <w:rFonts w:hint="eastAsia" w:ascii="宋体" w:hAnsi="宋体" w:eastAsia="宋体" w:cs="宋体"/>
          <w:color w:val="auto"/>
          <w:sz w:val="24"/>
          <w:szCs w:val="24"/>
          <w:highlight w:val="none"/>
        </w:rPr>
        <w:t>本合同有效期为甲乙双方签署之日起至该工程项目检测报告验收后止。</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第七条 </w:t>
      </w:r>
      <w:r>
        <w:rPr>
          <w:rFonts w:hint="eastAsia" w:ascii="宋体" w:hAnsi="宋体" w:eastAsia="宋体" w:cs="宋体"/>
          <w:color w:val="auto"/>
          <w:sz w:val="24"/>
          <w:szCs w:val="24"/>
          <w:highlight w:val="none"/>
        </w:rPr>
        <w:t>本合同作为工程检测合同的附件，与工程检测合同具有同等的法律效力，经合同双方签署立即生效。</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委托人单位：</w:t>
      </w:r>
      <w:r>
        <w:rPr>
          <w:rFonts w:hint="eastAsia" w:ascii="宋体" w:hAnsi="宋体" w:eastAsia="宋体" w:cs="宋体"/>
          <w:color w:val="auto"/>
          <w:sz w:val="24"/>
          <w:szCs w:val="24"/>
          <w:highlight w:val="none"/>
          <w:u w:val="single"/>
        </w:rPr>
        <w:t xml:space="preserve">        （盖章） </w:t>
      </w:r>
      <w:r>
        <w:rPr>
          <w:rFonts w:hint="eastAsia" w:ascii="宋体" w:hAnsi="宋体" w:eastAsia="宋体" w:cs="宋体"/>
          <w:color w:val="auto"/>
          <w:sz w:val="24"/>
          <w:szCs w:val="24"/>
          <w:highlight w:val="none"/>
        </w:rPr>
        <w:t>　     试验检测人：</w:t>
      </w:r>
      <w:r>
        <w:rPr>
          <w:rFonts w:hint="eastAsia" w:ascii="宋体" w:hAnsi="宋体" w:eastAsia="宋体" w:cs="宋体"/>
          <w:color w:val="auto"/>
          <w:sz w:val="24"/>
          <w:szCs w:val="24"/>
          <w:highlight w:val="none"/>
          <w:u w:val="single"/>
        </w:rPr>
        <w:t xml:space="preserve"> （盖章）</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u w:val="single"/>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（签章）  </w:t>
      </w: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u w:val="single"/>
        </w:rPr>
        <w:t xml:space="preserve">（签章）     </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地址：_________________             地址：</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电话：_________________             电话：_____</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年  月  日                  日期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年  月  日</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440" w:lineRule="exact"/>
        <w:textAlignment w:val="auto"/>
        <w:rPr>
          <w:rFonts w:hint="default" w:asciiTheme="minorEastAsia" w:hAnsiTheme="minorEastAsia" w:eastAsiaTheme="minorEastAsia" w:cstheme="minorEastAsia"/>
          <w:b w:val="0"/>
          <w:bCs w:val="0"/>
          <w:color w:val="auto"/>
          <w:sz w:val="21"/>
          <w:szCs w:val="21"/>
          <w:highlight w:val="none"/>
          <w:lang w:val="en-US" w:eastAsia="zh-CN"/>
        </w:rPr>
      </w:pPr>
      <w:r>
        <w:rPr>
          <w:rFonts w:hint="eastAsia" w:ascii="宋体" w:hAnsi="宋体" w:eastAsia="宋体" w:cs="宋体"/>
          <w:b w:val="0"/>
          <w:bCs w:val="0"/>
          <w:color w:val="auto"/>
          <w:sz w:val="24"/>
          <w:szCs w:val="24"/>
          <w:highlight w:val="none"/>
          <w:lang w:val="en-US" w:eastAsia="zh-CN"/>
        </w:rPr>
        <w:t>附件二：</w:t>
      </w:r>
    </w:p>
    <w:p>
      <w:pPr>
        <w:spacing w:after="120" w:afterLines="50" w:line="360" w:lineRule="auto"/>
        <w:ind w:firstLine="720" w:firstLineChars="200"/>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安全生产合同</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为在</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rPr>
        <w:t>（项目名称）合同的实施过程中创造安全、高效的检测环境，切实搞好本项目的安全管理工作，确保不发生伤亡事故及双方的利益不受损害。依照《中华人民共和国安全生产法》、《建设工程安全生产管理条例》、《江苏省安全生产条例》、《公路水运工程安全生产监督管理办法》、《江苏省公路水运建设工程安全监管规定》等的有关规定，本项目委托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（委托人名称，以下简称“委托人”）与试验检测人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（试验检测人名称，以下简称“试验检测人”）特此签订安全生产合同：</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1、委托人职责</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（1）严格遵守国家有关安全生产的法律法规，认真执行工程承包合同中的有关安全要求。</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（2）按照“安全第一、预防为主”和坚持“管生产必须管安全”的原则进行安全生产管理，做到生产与安全工作同时计划、布置、检查、总结和评比。</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（3）重要的安全设施必须坚持与主体工程“三同时”的原则，即：同时设计、审批，同时施工，同时验收，投入使用。</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（4）定期召开安全生产调度会，及时传达中央及地方有关安全生产的精神。</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（5）组织对试验检测人施工现场进行安全生产检查，监督试验检测人及时处理发现的各种安全隐患。</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2、试验检测人职责</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严格遵守《中华人民共和国安全生产法》、《建设工程安全生产管理条例》等国家有关安全生产的法律法规、《公路水运工程安全生产监督管理办法》等有关安全生产的规定。认真执行工程承包合同中的有关安全要求。</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（4）试验检测人在任何时候都应采取各种合理的预防措施，防止其员工发生任何违法、违禁、暴力或妨碍治安的行为。</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试验检测人必须具有劳动安全管理部门颁发的安全生产考核合格证书，参加检测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检测现场如出现特种作业无证操作现象时，项目经理必须承担管理责任。</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对于易燃易爆的材料除应专门妥善保管之外，还应配备有足够的消防设施，所有检测人员都应熟悉消防设备的性能和使用方法；试验检测人不得将任何种类的爆炸物给予、易货或以其他方式转让给任何其他人，或允许、容忍上述同样行为。</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（7）操作人员上岗，必须按规定穿戴防护用品。施工负责人和安全检查员应随时检查劳动防护用品的穿戴情况，不按规定穿戴防护用品的人员不得上岗。</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（8）所有检测机具设备和高空作业的设备均应定期检查，并有安全员的签字记录，保证其经常处于完好状态；不合格的机具、设备和劳动保护用品严禁使用。</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（9）检测中采用新技术、新工艺、新设备、新材料时，必须制定相应的安全技术措施，检测现场必须具有相关的安全标志牌。</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试验检测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（11）安全生产费用按照《公路水运工程安全生产监督管理办法》的相关规定使用和管理。</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3、违约责任</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如因委托人或试验检测人违约造成安全事故，将依法追究责任。</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4、本合同由双方法定代表人或其授权的代理人签署并加盖单位章后生效，全部工程交工验收后失效。</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委托人：（盖单位章）                     试验检测人：（盖单位章）</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法定代表人或其委托代理人：（签章）       法定代表人或其委托代理人：（签章）</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                                   年  月  日</w:t>
      </w:r>
    </w:p>
    <w:p>
      <w:pPr>
        <w:spacing w:line="500" w:lineRule="exact"/>
        <w:ind w:firstLine="482" w:firstLineChars="200"/>
        <w:jc w:val="center"/>
        <w:textAlignment w:val="baseline"/>
        <w:rPr>
          <w:rFonts w:hint="eastAsia" w:ascii="宋体" w:hAnsi="宋体" w:eastAsia="宋体" w:cs="宋体"/>
          <w:b/>
          <w:bCs/>
          <w:color w:val="auto"/>
          <w:sz w:val="24"/>
          <w:szCs w:val="24"/>
          <w:highlight w:val="none"/>
        </w:rPr>
      </w:pPr>
    </w:p>
    <w:p>
      <w:pPr>
        <w:pStyle w:val="4"/>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b w:val="0"/>
          <w:bCs w:val="0"/>
          <w:color w:val="auto"/>
          <w:sz w:val="24"/>
          <w:szCs w:val="24"/>
          <w:highlight w:val="none"/>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b w:val="0"/>
          <w:bCs w:val="0"/>
          <w:color w:val="auto"/>
          <w:sz w:val="24"/>
          <w:szCs w:val="24"/>
          <w:highlight w:val="none"/>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b w:val="0"/>
          <w:bCs w:val="0"/>
          <w:color w:val="auto"/>
          <w:sz w:val="24"/>
          <w:szCs w:val="24"/>
          <w:highlight w:val="none"/>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b w:val="0"/>
          <w:bCs w:val="0"/>
          <w:color w:val="auto"/>
          <w:sz w:val="24"/>
          <w:szCs w:val="24"/>
          <w:highlight w:val="none"/>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b w:val="0"/>
          <w:bCs w:val="0"/>
          <w:color w:val="auto"/>
          <w:sz w:val="24"/>
          <w:szCs w:val="24"/>
          <w:highlight w:val="none"/>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b w:val="0"/>
          <w:bCs w:val="0"/>
          <w:color w:val="auto"/>
          <w:sz w:val="24"/>
          <w:szCs w:val="24"/>
          <w:highlight w:val="none"/>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b w:val="0"/>
          <w:bCs w:val="0"/>
          <w:color w:val="auto"/>
          <w:sz w:val="24"/>
          <w:szCs w:val="24"/>
          <w:highlight w:val="none"/>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b w:val="0"/>
          <w:bCs w:val="0"/>
          <w:color w:val="auto"/>
          <w:sz w:val="24"/>
          <w:szCs w:val="24"/>
          <w:highlight w:val="none"/>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b w:val="0"/>
          <w:bCs w:val="0"/>
          <w:color w:val="auto"/>
          <w:sz w:val="24"/>
          <w:szCs w:val="24"/>
          <w:highlight w:val="none"/>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b w:val="0"/>
          <w:bCs w:val="0"/>
          <w:color w:val="auto"/>
          <w:sz w:val="24"/>
          <w:szCs w:val="24"/>
          <w:highlight w:val="none"/>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b w:val="0"/>
          <w:bCs w:val="0"/>
          <w:color w:val="auto"/>
          <w:sz w:val="24"/>
          <w:szCs w:val="24"/>
          <w:highlight w:val="none"/>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b w:val="0"/>
          <w:bCs w:val="0"/>
          <w:color w:val="auto"/>
          <w:sz w:val="24"/>
          <w:szCs w:val="24"/>
          <w:highlight w:val="none"/>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b w:val="0"/>
          <w:bCs w:val="0"/>
          <w:color w:val="auto"/>
          <w:sz w:val="24"/>
          <w:szCs w:val="24"/>
          <w:highlight w:val="none"/>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b w:val="0"/>
          <w:bCs w:val="0"/>
          <w:color w:val="auto"/>
          <w:sz w:val="24"/>
          <w:szCs w:val="24"/>
          <w:highlight w:val="none"/>
          <w:lang w:val="en-US" w:eastAsia="zh-CN"/>
        </w:rPr>
      </w:pPr>
    </w:p>
    <w:p>
      <w:pPr>
        <w:jc w:val="center"/>
        <w:rPr>
          <w:rFonts w:hint="eastAsia" w:asciiTheme="minorEastAsia" w:hAnsiTheme="minorEastAsia" w:eastAsiaTheme="minorEastAsia" w:cstheme="minorEastAsia"/>
          <w:b/>
          <w:color w:val="auto"/>
          <w:sz w:val="36"/>
          <w:highlight w:val="none"/>
        </w:rPr>
      </w:pPr>
    </w:p>
    <w:p>
      <w:pPr>
        <w:pStyle w:val="6"/>
        <w:rPr>
          <w:rFonts w:hint="eastAsia"/>
        </w:rPr>
      </w:pPr>
    </w:p>
    <w:p>
      <w:pPr>
        <w:jc w:val="center"/>
        <w:rPr>
          <w:rFonts w:hint="eastAsia" w:asciiTheme="minorEastAsia" w:hAnsiTheme="minorEastAsia" w:eastAsiaTheme="minorEastAsia" w:cstheme="minorEastAsia"/>
          <w:b/>
          <w:color w:val="auto"/>
          <w:sz w:val="36"/>
          <w:highlight w:val="none"/>
        </w:rPr>
      </w:pPr>
    </w:p>
    <w:p>
      <w:pPr>
        <w:pStyle w:val="4"/>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Theme="minorEastAsia" w:hAnsiTheme="minorEastAsia" w:eastAsiaTheme="minorEastAsia" w:cstheme="minorEastAsia"/>
          <w:b/>
          <w:color w:val="auto"/>
          <w:sz w:val="36"/>
          <w:highlight w:val="none"/>
        </w:rPr>
      </w:pPr>
      <w:r>
        <w:rPr>
          <w:rFonts w:hint="eastAsia" w:ascii="宋体" w:hAnsi="宋体" w:eastAsia="宋体" w:cs="宋体"/>
          <w:b w:val="0"/>
          <w:bCs w:val="0"/>
          <w:color w:val="auto"/>
          <w:sz w:val="24"/>
          <w:szCs w:val="24"/>
          <w:highlight w:val="none"/>
          <w:lang w:val="en-US" w:eastAsia="zh-CN"/>
        </w:rPr>
        <w:t>附件三：</w:t>
      </w:r>
    </w:p>
    <w:p>
      <w:pPr>
        <w:jc w:val="center"/>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t>合同履约情况一览表</w:t>
      </w:r>
    </w:p>
    <w:tbl>
      <w:tblPr>
        <w:tblStyle w:val="16"/>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7" w:hRule="atLeast"/>
        </w:trPr>
        <w:tc>
          <w:tcPr>
            <w:tcW w:w="8799" w:type="dxa"/>
            <w:tcBorders>
              <w:top w:val="single" w:color="auto" w:sz="4" w:space="0"/>
              <w:left w:val="single" w:color="auto" w:sz="4" w:space="0"/>
              <w:right w:val="single" w:color="auto" w:sz="4" w:space="0"/>
            </w:tcBorders>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检测工作质量：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trPr>
        <w:tc>
          <w:tcPr>
            <w:tcW w:w="8799" w:type="dxa"/>
            <w:tcBorders>
              <w:left w:val="single" w:color="auto" w:sz="4" w:space="0"/>
              <w:right w:val="single" w:color="auto" w:sz="4" w:space="0"/>
            </w:tcBorders>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tcW w:w="8799" w:type="dxa"/>
            <w:tcBorders>
              <w:left w:val="single" w:color="auto" w:sz="4" w:space="0"/>
              <w:right w:val="single" w:color="auto" w:sz="4" w:space="0"/>
            </w:tcBorders>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2" w:hRule="atLeast"/>
        </w:trPr>
        <w:tc>
          <w:tcPr>
            <w:tcW w:w="8799" w:type="dxa"/>
            <w:tcBorders>
              <w:left w:val="single" w:color="auto" w:sz="4" w:space="0"/>
              <w:bottom w:val="single" w:color="auto" w:sz="4" w:space="0"/>
              <w:right w:val="single" w:color="auto" w:sz="4" w:space="0"/>
            </w:tcBorders>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r>
    </w:tbl>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检查人：                      日期：</w:t>
      </w:r>
    </w:p>
    <w:p>
      <w:pPr>
        <w:jc w:val="center"/>
        <w:rPr>
          <w:rFonts w:hint="eastAsia" w:ascii="宋体" w:hAnsi="宋体" w:eastAsia="宋体" w:cs="宋体"/>
          <w:b/>
          <w:bCs/>
          <w:sz w:val="24"/>
          <w:szCs w:val="24"/>
        </w:rPr>
      </w:pPr>
    </w:p>
    <w:p>
      <w:pPr>
        <w:spacing w:line="360" w:lineRule="auto"/>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86657B"/>
    <w:multiLevelType w:val="multilevel"/>
    <w:tmpl w:val="1186657B"/>
    <w:lvl w:ilvl="0" w:tentative="0">
      <w:start w:val="1"/>
      <w:numFmt w:val="decimalEnclosedCircle"/>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9CA1BCC"/>
    <w:multiLevelType w:val="multilevel"/>
    <w:tmpl w:val="49CA1BCC"/>
    <w:lvl w:ilvl="0" w:tentative="0">
      <w:start w:val="1"/>
      <w:numFmt w:val="japaneseCounting"/>
      <w:lvlText w:val="%1、"/>
      <w:lvlJc w:val="left"/>
      <w:pPr>
        <w:ind w:left="982" w:hanging="50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MTcyMzUxODUzYmIzZTRjODc2ZDU2MTllOTBjNzIifQ=="/>
  </w:docVars>
  <w:rsids>
    <w:rsidRoot w:val="002040DE"/>
    <w:rsid w:val="00000F45"/>
    <w:rsid w:val="000017E6"/>
    <w:rsid w:val="00001886"/>
    <w:rsid w:val="000018DC"/>
    <w:rsid w:val="00003192"/>
    <w:rsid w:val="000045D3"/>
    <w:rsid w:val="0000739C"/>
    <w:rsid w:val="000103CA"/>
    <w:rsid w:val="000105EE"/>
    <w:rsid w:val="00010856"/>
    <w:rsid w:val="00010B87"/>
    <w:rsid w:val="0001109D"/>
    <w:rsid w:val="00011341"/>
    <w:rsid w:val="0001212A"/>
    <w:rsid w:val="00012308"/>
    <w:rsid w:val="000128BB"/>
    <w:rsid w:val="000128F1"/>
    <w:rsid w:val="00013411"/>
    <w:rsid w:val="0001543C"/>
    <w:rsid w:val="00015BA7"/>
    <w:rsid w:val="000162D3"/>
    <w:rsid w:val="00017B83"/>
    <w:rsid w:val="00020EA4"/>
    <w:rsid w:val="0002114E"/>
    <w:rsid w:val="00022D88"/>
    <w:rsid w:val="00023732"/>
    <w:rsid w:val="000248A7"/>
    <w:rsid w:val="0002703D"/>
    <w:rsid w:val="0003028C"/>
    <w:rsid w:val="00030C84"/>
    <w:rsid w:val="00031089"/>
    <w:rsid w:val="00031352"/>
    <w:rsid w:val="0003142A"/>
    <w:rsid w:val="00035C96"/>
    <w:rsid w:val="0003624C"/>
    <w:rsid w:val="00036528"/>
    <w:rsid w:val="0003779A"/>
    <w:rsid w:val="000403DA"/>
    <w:rsid w:val="00040948"/>
    <w:rsid w:val="00041D18"/>
    <w:rsid w:val="00042BAC"/>
    <w:rsid w:val="00042CE8"/>
    <w:rsid w:val="000439C1"/>
    <w:rsid w:val="0004574C"/>
    <w:rsid w:val="00046789"/>
    <w:rsid w:val="00046ECB"/>
    <w:rsid w:val="000508CE"/>
    <w:rsid w:val="000518C5"/>
    <w:rsid w:val="00052025"/>
    <w:rsid w:val="000535CE"/>
    <w:rsid w:val="000540B9"/>
    <w:rsid w:val="00055831"/>
    <w:rsid w:val="00055AAE"/>
    <w:rsid w:val="00055E9E"/>
    <w:rsid w:val="0005690D"/>
    <w:rsid w:val="00056FB9"/>
    <w:rsid w:val="000609FC"/>
    <w:rsid w:val="00061D62"/>
    <w:rsid w:val="00062DDF"/>
    <w:rsid w:val="000631AD"/>
    <w:rsid w:val="00063337"/>
    <w:rsid w:val="00063502"/>
    <w:rsid w:val="000642DB"/>
    <w:rsid w:val="000646EE"/>
    <w:rsid w:val="00070F73"/>
    <w:rsid w:val="0007192B"/>
    <w:rsid w:val="000719B5"/>
    <w:rsid w:val="00072026"/>
    <w:rsid w:val="00072707"/>
    <w:rsid w:val="00076260"/>
    <w:rsid w:val="00077210"/>
    <w:rsid w:val="00077E4C"/>
    <w:rsid w:val="000802CE"/>
    <w:rsid w:val="00082020"/>
    <w:rsid w:val="00083B0A"/>
    <w:rsid w:val="00084925"/>
    <w:rsid w:val="000852B4"/>
    <w:rsid w:val="00085B06"/>
    <w:rsid w:val="00085F7B"/>
    <w:rsid w:val="0008602F"/>
    <w:rsid w:val="00086B9B"/>
    <w:rsid w:val="000870CE"/>
    <w:rsid w:val="00090237"/>
    <w:rsid w:val="000922F8"/>
    <w:rsid w:val="00092E47"/>
    <w:rsid w:val="00094B1D"/>
    <w:rsid w:val="00097288"/>
    <w:rsid w:val="000A03E3"/>
    <w:rsid w:val="000A0738"/>
    <w:rsid w:val="000A0E2F"/>
    <w:rsid w:val="000A1608"/>
    <w:rsid w:val="000A3D9D"/>
    <w:rsid w:val="000A44D0"/>
    <w:rsid w:val="000A452E"/>
    <w:rsid w:val="000A527C"/>
    <w:rsid w:val="000A6064"/>
    <w:rsid w:val="000B0ADE"/>
    <w:rsid w:val="000B1B71"/>
    <w:rsid w:val="000B3A1B"/>
    <w:rsid w:val="000B5C26"/>
    <w:rsid w:val="000B6199"/>
    <w:rsid w:val="000B78A8"/>
    <w:rsid w:val="000C246E"/>
    <w:rsid w:val="000C2FB4"/>
    <w:rsid w:val="000C4112"/>
    <w:rsid w:val="000C6098"/>
    <w:rsid w:val="000C61B9"/>
    <w:rsid w:val="000C6D7D"/>
    <w:rsid w:val="000C7906"/>
    <w:rsid w:val="000C7EF6"/>
    <w:rsid w:val="000D2BFF"/>
    <w:rsid w:val="000D4D11"/>
    <w:rsid w:val="000D5A38"/>
    <w:rsid w:val="000D6553"/>
    <w:rsid w:val="000E01C4"/>
    <w:rsid w:val="000E1025"/>
    <w:rsid w:val="000E288A"/>
    <w:rsid w:val="000E43F4"/>
    <w:rsid w:val="000E44E8"/>
    <w:rsid w:val="000E4A6A"/>
    <w:rsid w:val="000E69BE"/>
    <w:rsid w:val="000F2B0D"/>
    <w:rsid w:val="000F3FB1"/>
    <w:rsid w:val="000F54AC"/>
    <w:rsid w:val="000F6199"/>
    <w:rsid w:val="000F68CC"/>
    <w:rsid w:val="00101E50"/>
    <w:rsid w:val="00102059"/>
    <w:rsid w:val="00103170"/>
    <w:rsid w:val="001036C1"/>
    <w:rsid w:val="00104699"/>
    <w:rsid w:val="001067B3"/>
    <w:rsid w:val="00106BE9"/>
    <w:rsid w:val="00106F3D"/>
    <w:rsid w:val="0011068B"/>
    <w:rsid w:val="00110D39"/>
    <w:rsid w:val="00110D71"/>
    <w:rsid w:val="00111DA3"/>
    <w:rsid w:val="00111E0C"/>
    <w:rsid w:val="00112C68"/>
    <w:rsid w:val="001131D9"/>
    <w:rsid w:val="00115BBA"/>
    <w:rsid w:val="00116174"/>
    <w:rsid w:val="0011691D"/>
    <w:rsid w:val="00117F68"/>
    <w:rsid w:val="00120E9D"/>
    <w:rsid w:val="00120EC4"/>
    <w:rsid w:val="00121151"/>
    <w:rsid w:val="001229D8"/>
    <w:rsid w:val="00122C5C"/>
    <w:rsid w:val="00122E2A"/>
    <w:rsid w:val="00123980"/>
    <w:rsid w:val="001245D5"/>
    <w:rsid w:val="00124F14"/>
    <w:rsid w:val="0012513A"/>
    <w:rsid w:val="00125CB1"/>
    <w:rsid w:val="00126066"/>
    <w:rsid w:val="001269C6"/>
    <w:rsid w:val="00127430"/>
    <w:rsid w:val="00127DEC"/>
    <w:rsid w:val="00130EE3"/>
    <w:rsid w:val="00131407"/>
    <w:rsid w:val="00132731"/>
    <w:rsid w:val="001327CB"/>
    <w:rsid w:val="00135AC6"/>
    <w:rsid w:val="001374AD"/>
    <w:rsid w:val="001406D4"/>
    <w:rsid w:val="00141F49"/>
    <w:rsid w:val="00142C69"/>
    <w:rsid w:val="0014704F"/>
    <w:rsid w:val="0015016D"/>
    <w:rsid w:val="0015095E"/>
    <w:rsid w:val="001511B0"/>
    <w:rsid w:val="001520D1"/>
    <w:rsid w:val="00153102"/>
    <w:rsid w:val="00155DF3"/>
    <w:rsid w:val="00157488"/>
    <w:rsid w:val="00160DF6"/>
    <w:rsid w:val="001613B5"/>
    <w:rsid w:val="00162BF7"/>
    <w:rsid w:val="00163B73"/>
    <w:rsid w:val="0016417F"/>
    <w:rsid w:val="001654CF"/>
    <w:rsid w:val="00165AA7"/>
    <w:rsid w:val="00165B8A"/>
    <w:rsid w:val="00166BBF"/>
    <w:rsid w:val="00167286"/>
    <w:rsid w:val="00167B29"/>
    <w:rsid w:val="00170D29"/>
    <w:rsid w:val="0017100D"/>
    <w:rsid w:val="00173327"/>
    <w:rsid w:val="0017347E"/>
    <w:rsid w:val="00173770"/>
    <w:rsid w:val="001758D3"/>
    <w:rsid w:val="00176771"/>
    <w:rsid w:val="00177170"/>
    <w:rsid w:val="00177B32"/>
    <w:rsid w:val="00177BEC"/>
    <w:rsid w:val="00180089"/>
    <w:rsid w:val="00180AE7"/>
    <w:rsid w:val="001815A5"/>
    <w:rsid w:val="001818C6"/>
    <w:rsid w:val="00181A16"/>
    <w:rsid w:val="00181F2D"/>
    <w:rsid w:val="001822A3"/>
    <w:rsid w:val="001827CD"/>
    <w:rsid w:val="0018356A"/>
    <w:rsid w:val="001838E2"/>
    <w:rsid w:val="0018565A"/>
    <w:rsid w:val="00185690"/>
    <w:rsid w:val="001903FF"/>
    <w:rsid w:val="001907EC"/>
    <w:rsid w:val="001908DB"/>
    <w:rsid w:val="00190F4C"/>
    <w:rsid w:val="00193D85"/>
    <w:rsid w:val="00194A22"/>
    <w:rsid w:val="001954B7"/>
    <w:rsid w:val="00195E26"/>
    <w:rsid w:val="0019670D"/>
    <w:rsid w:val="00197073"/>
    <w:rsid w:val="0019754A"/>
    <w:rsid w:val="00197AD2"/>
    <w:rsid w:val="00197BBD"/>
    <w:rsid w:val="00197D6D"/>
    <w:rsid w:val="001A10E0"/>
    <w:rsid w:val="001A1408"/>
    <w:rsid w:val="001A1B48"/>
    <w:rsid w:val="001A1D5A"/>
    <w:rsid w:val="001A57D0"/>
    <w:rsid w:val="001A5B80"/>
    <w:rsid w:val="001A730D"/>
    <w:rsid w:val="001A7439"/>
    <w:rsid w:val="001A77F7"/>
    <w:rsid w:val="001B2410"/>
    <w:rsid w:val="001B2F3F"/>
    <w:rsid w:val="001B2FBE"/>
    <w:rsid w:val="001B460A"/>
    <w:rsid w:val="001B475B"/>
    <w:rsid w:val="001B52D8"/>
    <w:rsid w:val="001B55EF"/>
    <w:rsid w:val="001C039D"/>
    <w:rsid w:val="001C0D40"/>
    <w:rsid w:val="001C0DDC"/>
    <w:rsid w:val="001C1725"/>
    <w:rsid w:val="001C25B4"/>
    <w:rsid w:val="001C2DF3"/>
    <w:rsid w:val="001C3204"/>
    <w:rsid w:val="001C3F5D"/>
    <w:rsid w:val="001C5C99"/>
    <w:rsid w:val="001C6046"/>
    <w:rsid w:val="001C67F0"/>
    <w:rsid w:val="001C7961"/>
    <w:rsid w:val="001D0C1F"/>
    <w:rsid w:val="001D115C"/>
    <w:rsid w:val="001D1DC7"/>
    <w:rsid w:val="001D2907"/>
    <w:rsid w:val="001D39C0"/>
    <w:rsid w:val="001D4D80"/>
    <w:rsid w:val="001D4F8E"/>
    <w:rsid w:val="001D53FF"/>
    <w:rsid w:val="001D7214"/>
    <w:rsid w:val="001D729A"/>
    <w:rsid w:val="001D733B"/>
    <w:rsid w:val="001D752E"/>
    <w:rsid w:val="001D7EE4"/>
    <w:rsid w:val="001E169E"/>
    <w:rsid w:val="001E2057"/>
    <w:rsid w:val="001E31FE"/>
    <w:rsid w:val="001E7399"/>
    <w:rsid w:val="001E7675"/>
    <w:rsid w:val="001F235B"/>
    <w:rsid w:val="001F35CC"/>
    <w:rsid w:val="001F3657"/>
    <w:rsid w:val="001F498B"/>
    <w:rsid w:val="001F5254"/>
    <w:rsid w:val="001F5BF5"/>
    <w:rsid w:val="001F6F89"/>
    <w:rsid w:val="001F7792"/>
    <w:rsid w:val="001F7DB4"/>
    <w:rsid w:val="00200199"/>
    <w:rsid w:val="002014EC"/>
    <w:rsid w:val="0020168B"/>
    <w:rsid w:val="00203608"/>
    <w:rsid w:val="002040DE"/>
    <w:rsid w:val="00204595"/>
    <w:rsid w:val="0020513B"/>
    <w:rsid w:val="00205CD7"/>
    <w:rsid w:val="0020666A"/>
    <w:rsid w:val="00206A8D"/>
    <w:rsid w:val="0020745C"/>
    <w:rsid w:val="0021072A"/>
    <w:rsid w:val="00210ACC"/>
    <w:rsid w:val="00211AB8"/>
    <w:rsid w:val="00213837"/>
    <w:rsid w:val="00214CA4"/>
    <w:rsid w:val="00215EC6"/>
    <w:rsid w:val="00216154"/>
    <w:rsid w:val="00216CCA"/>
    <w:rsid w:val="00216D42"/>
    <w:rsid w:val="00220A08"/>
    <w:rsid w:val="002222FE"/>
    <w:rsid w:val="00222AC5"/>
    <w:rsid w:val="00223E22"/>
    <w:rsid w:val="00224280"/>
    <w:rsid w:val="00224955"/>
    <w:rsid w:val="002249E3"/>
    <w:rsid w:val="002250FF"/>
    <w:rsid w:val="002258A7"/>
    <w:rsid w:val="00226330"/>
    <w:rsid w:val="00227644"/>
    <w:rsid w:val="00227D76"/>
    <w:rsid w:val="00230C05"/>
    <w:rsid w:val="00231F5C"/>
    <w:rsid w:val="002321DD"/>
    <w:rsid w:val="00232879"/>
    <w:rsid w:val="00233321"/>
    <w:rsid w:val="00234946"/>
    <w:rsid w:val="00234D31"/>
    <w:rsid w:val="002352C4"/>
    <w:rsid w:val="002354D4"/>
    <w:rsid w:val="00236350"/>
    <w:rsid w:val="002364B1"/>
    <w:rsid w:val="00237523"/>
    <w:rsid w:val="00242AE3"/>
    <w:rsid w:val="00245821"/>
    <w:rsid w:val="0024675A"/>
    <w:rsid w:val="00246A01"/>
    <w:rsid w:val="00247600"/>
    <w:rsid w:val="0025263D"/>
    <w:rsid w:val="002537F0"/>
    <w:rsid w:val="00254C0F"/>
    <w:rsid w:val="00254F4A"/>
    <w:rsid w:val="00256454"/>
    <w:rsid w:val="002564E9"/>
    <w:rsid w:val="00257F8E"/>
    <w:rsid w:val="00263E01"/>
    <w:rsid w:val="002642DD"/>
    <w:rsid w:val="002656B0"/>
    <w:rsid w:val="0026683D"/>
    <w:rsid w:val="00267244"/>
    <w:rsid w:val="002719EE"/>
    <w:rsid w:val="002720E8"/>
    <w:rsid w:val="00273D14"/>
    <w:rsid w:val="00273E1A"/>
    <w:rsid w:val="00274A97"/>
    <w:rsid w:val="00276E92"/>
    <w:rsid w:val="002772B5"/>
    <w:rsid w:val="00277314"/>
    <w:rsid w:val="0028152D"/>
    <w:rsid w:val="00283086"/>
    <w:rsid w:val="0028430B"/>
    <w:rsid w:val="002852A3"/>
    <w:rsid w:val="00285FCF"/>
    <w:rsid w:val="002861B1"/>
    <w:rsid w:val="00286404"/>
    <w:rsid w:val="002868E7"/>
    <w:rsid w:val="00290317"/>
    <w:rsid w:val="00290415"/>
    <w:rsid w:val="00290C0F"/>
    <w:rsid w:val="00291814"/>
    <w:rsid w:val="0029274F"/>
    <w:rsid w:val="002927A5"/>
    <w:rsid w:val="0029309D"/>
    <w:rsid w:val="00296091"/>
    <w:rsid w:val="002965D2"/>
    <w:rsid w:val="00297298"/>
    <w:rsid w:val="002A00A5"/>
    <w:rsid w:val="002A028E"/>
    <w:rsid w:val="002A1B4C"/>
    <w:rsid w:val="002A2C81"/>
    <w:rsid w:val="002A55EB"/>
    <w:rsid w:val="002A6F19"/>
    <w:rsid w:val="002A73EA"/>
    <w:rsid w:val="002B0B67"/>
    <w:rsid w:val="002B3363"/>
    <w:rsid w:val="002B3892"/>
    <w:rsid w:val="002B42D2"/>
    <w:rsid w:val="002B43F9"/>
    <w:rsid w:val="002B5E3B"/>
    <w:rsid w:val="002C0D64"/>
    <w:rsid w:val="002C0E5B"/>
    <w:rsid w:val="002C13FF"/>
    <w:rsid w:val="002C1595"/>
    <w:rsid w:val="002C20DA"/>
    <w:rsid w:val="002C2802"/>
    <w:rsid w:val="002C31F2"/>
    <w:rsid w:val="002C3BC3"/>
    <w:rsid w:val="002C594B"/>
    <w:rsid w:val="002C6BF1"/>
    <w:rsid w:val="002C6F0A"/>
    <w:rsid w:val="002C7E05"/>
    <w:rsid w:val="002D0603"/>
    <w:rsid w:val="002D0867"/>
    <w:rsid w:val="002D0A9D"/>
    <w:rsid w:val="002D42F7"/>
    <w:rsid w:val="002D4921"/>
    <w:rsid w:val="002D6A56"/>
    <w:rsid w:val="002E02FB"/>
    <w:rsid w:val="002E0EBB"/>
    <w:rsid w:val="002E297F"/>
    <w:rsid w:val="002E2E65"/>
    <w:rsid w:val="002E363B"/>
    <w:rsid w:val="002E3F6C"/>
    <w:rsid w:val="002E4C5F"/>
    <w:rsid w:val="002E6DDE"/>
    <w:rsid w:val="002E6F94"/>
    <w:rsid w:val="002F0A47"/>
    <w:rsid w:val="002F27D4"/>
    <w:rsid w:val="002F2D36"/>
    <w:rsid w:val="002F2D8D"/>
    <w:rsid w:val="002F50A7"/>
    <w:rsid w:val="002F5C05"/>
    <w:rsid w:val="002F7225"/>
    <w:rsid w:val="002F77FC"/>
    <w:rsid w:val="002F7E01"/>
    <w:rsid w:val="002F7F7E"/>
    <w:rsid w:val="00301D06"/>
    <w:rsid w:val="00310E7D"/>
    <w:rsid w:val="003112E0"/>
    <w:rsid w:val="003114BB"/>
    <w:rsid w:val="00313EA7"/>
    <w:rsid w:val="00315BC2"/>
    <w:rsid w:val="00315BF2"/>
    <w:rsid w:val="003160DB"/>
    <w:rsid w:val="0031633F"/>
    <w:rsid w:val="00316CA8"/>
    <w:rsid w:val="00320667"/>
    <w:rsid w:val="00321A45"/>
    <w:rsid w:val="00321BBE"/>
    <w:rsid w:val="00322733"/>
    <w:rsid w:val="00322F0A"/>
    <w:rsid w:val="003235F7"/>
    <w:rsid w:val="003238C6"/>
    <w:rsid w:val="003242CE"/>
    <w:rsid w:val="003259D3"/>
    <w:rsid w:val="00325B67"/>
    <w:rsid w:val="00325BF5"/>
    <w:rsid w:val="00325E39"/>
    <w:rsid w:val="00327AAC"/>
    <w:rsid w:val="0033266B"/>
    <w:rsid w:val="00332D4F"/>
    <w:rsid w:val="0033378B"/>
    <w:rsid w:val="00333DB5"/>
    <w:rsid w:val="00333DEF"/>
    <w:rsid w:val="003345C7"/>
    <w:rsid w:val="00334D7A"/>
    <w:rsid w:val="003375D8"/>
    <w:rsid w:val="00337A02"/>
    <w:rsid w:val="00340A60"/>
    <w:rsid w:val="00342225"/>
    <w:rsid w:val="003425C2"/>
    <w:rsid w:val="00342BE6"/>
    <w:rsid w:val="00342EF8"/>
    <w:rsid w:val="00343AC7"/>
    <w:rsid w:val="0034432B"/>
    <w:rsid w:val="003448DC"/>
    <w:rsid w:val="0034609A"/>
    <w:rsid w:val="003463B0"/>
    <w:rsid w:val="00347FD8"/>
    <w:rsid w:val="003517F9"/>
    <w:rsid w:val="00352E33"/>
    <w:rsid w:val="0035618B"/>
    <w:rsid w:val="0035696B"/>
    <w:rsid w:val="003600F4"/>
    <w:rsid w:val="0036071C"/>
    <w:rsid w:val="00364686"/>
    <w:rsid w:val="00364EE6"/>
    <w:rsid w:val="003665A1"/>
    <w:rsid w:val="003665D4"/>
    <w:rsid w:val="003666BC"/>
    <w:rsid w:val="003668B7"/>
    <w:rsid w:val="003668F9"/>
    <w:rsid w:val="00366A7E"/>
    <w:rsid w:val="003701EE"/>
    <w:rsid w:val="00371DFA"/>
    <w:rsid w:val="00372BA4"/>
    <w:rsid w:val="00373163"/>
    <w:rsid w:val="00373E94"/>
    <w:rsid w:val="003742CC"/>
    <w:rsid w:val="00374942"/>
    <w:rsid w:val="00375505"/>
    <w:rsid w:val="00375DCC"/>
    <w:rsid w:val="0037733F"/>
    <w:rsid w:val="00377A27"/>
    <w:rsid w:val="00377FBF"/>
    <w:rsid w:val="00382081"/>
    <w:rsid w:val="00382636"/>
    <w:rsid w:val="00382ED9"/>
    <w:rsid w:val="00383201"/>
    <w:rsid w:val="003840AB"/>
    <w:rsid w:val="00384D0E"/>
    <w:rsid w:val="00384D7B"/>
    <w:rsid w:val="00385258"/>
    <w:rsid w:val="00385529"/>
    <w:rsid w:val="00387EB2"/>
    <w:rsid w:val="00392166"/>
    <w:rsid w:val="00394747"/>
    <w:rsid w:val="00394D69"/>
    <w:rsid w:val="003976C3"/>
    <w:rsid w:val="003A139A"/>
    <w:rsid w:val="003A2E3C"/>
    <w:rsid w:val="003A32B2"/>
    <w:rsid w:val="003A5768"/>
    <w:rsid w:val="003A5BAE"/>
    <w:rsid w:val="003A5EA8"/>
    <w:rsid w:val="003A673F"/>
    <w:rsid w:val="003A68A9"/>
    <w:rsid w:val="003B0F3B"/>
    <w:rsid w:val="003B13FE"/>
    <w:rsid w:val="003B2D57"/>
    <w:rsid w:val="003B3478"/>
    <w:rsid w:val="003B582A"/>
    <w:rsid w:val="003B5CD8"/>
    <w:rsid w:val="003B65DF"/>
    <w:rsid w:val="003B7C3E"/>
    <w:rsid w:val="003C0581"/>
    <w:rsid w:val="003C167E"/>
    <w:rsid w:val="003C23F3"/>
    <w:rsid w:val="003C2E50"/>
    <w:rsid w:val="003C3600"/>
    <w:rsid w:val="003C4F22"/>
    <w:rsid w:val="003C58F5"/>
    <w:rsid w:val="003C6E2F"/>
    <w:rsid w:val="003C7D4F"/>
    <w:rsid w:val="003D4102"/>
    <w:rsid w:val="003D4349"/>
    <w:rsid w:val="003D43F7"/>
    <w:rsid w:val="003D4D56"/>
    <w:rsid w:val="003D54B4"/>
    <w:rsid w:val="003E0793"/>
    <w:rsid w:val="003E3F10"/>
    <w:rsid w:val="003E577C"/>
    <w:rsid w:val="003F092D"/>
    <w:rsid w:val="003F2202"/>
    <w:rsid w:val="003F643C"/>
    <w:rsid w:val="003F6945"/>
    <w:rsid w:val="003F7F18"/>
    <w:rsid w:val="0040341D"/>
    <w:rsid w:val="00403F6B"/>
    <w:rsid w:val="0040489F"/>
    <w:rsid w:val="00404951"/>
    <w:rsid w:val="00404D4D"/>
    <w:rsid w:val="00412084"/>
    <w:rsid w:val="00412C5A"/>
    <w:rsid w:val="0041329E"/>
    <w:rsid w:val="00413814"/>
    <w:rsid w:val="00414120"/>
    <w:rsid w:val="00414DE4"/>
    <w:rsid w:val="0041550B"/>
    <w:rsid w:val="004155D3"/>
    <w:rsid w:val="0041566C"/>
    <w:rsid w:val="00415F78"/>
    <w:rsid w:val="00420B01"/>
    <w:rsid w:val="00423755"/>
    <w:rsid w:val="00423C84"/>
    <w:rsid w:val="00424AC7"/>
    <w:rsid w:val="00425405"/>
    <w:rsid w:val="004266FD"/>
    <w:rsid w:val="004271B6"/>
    <w:rsid w:val="00427264"/>
    <w:rsid w:val="00430827"/>
    <w:rsid w:val="0043099C"/>
    <w:rsid w:val="00430AC8"/>
    <w:rsid w:val="00433009"/>
    <w:rsid w:val="00433346"/>
    <w:rsid w:val="004334F1"/>
    <w:rsid w:val="00434B87"/>
    <w:rsid w:val="00435458"/>
    <w:rsid w:val="00435547"/>
    <w:rsid w:val="00435C63"/>
    <w:rsid w:val="004363A2"/>
    <w:rsid w:val="004364C8"/>
    <w:rsid w:val="004400BD"/>
    <w:rsid w:val="00440934"/>
    <w:rsid w:val="00440BF7"/>
    <w:rsid w:val="00441708"/>
    <w:rsid w:val="004435CD"/>
    <w:rsid w:val="00445E44"/>
    <w:rsid w:val="00445E7B"/>
    <w:rsid w:val="004462D2"/>
    <w:rsid w:val="004476C5"/>
    <w:rsid w:val="004512F0"/>
    <w:rsid w:val="00451FD4"/>
    <w:rsid w:val="0045263E"/>
    <w:rsid w:val="00453539"/>
    <w:rsid w:val="00454C5A"/>
    <w:rsid w:val="00455C3E"/>
    <w:rsid w:val="00461086"/>
    <w:rsid w:val="0046121F"/>
    <w:rsid w:val="0046134C"/>
    <w:rsid w:val="00461B3F"/>
    <w:rsid w:val="00461C40"/>
    <w:rsid w:val="00461E35"/>
    <w:rsid w:val="0046294D"/>
    <w:rsid w:val="00462C52"/>
    <w:rsid w:val="00466A72"/>
    <w:rsid w:val="00466AE7"/>
    <w:rsid w:val="00471543"/>
    <w:rsid w:val="00471A43"/>
    <w:rsid w:val="00471C15"/>
    <w:rsid w:val="00472AFE"/>
    <w:rsid w:val="00473199"/>
    <w:rsid w:val="00473468"/>
    <w:rsid w:val="00474562"/>
    <w:rsid w:val="00474835"/>
    <w:rsid w:val="00474B73"/>
    <w:rsid w:val="00474C8C"/>
    <w:rsid w:val="00474D2F"/>
    <w:rsid w:val="00475BAA"/>
    <w:rsid w:val="0048108D"/>
    <w:rsid w:val="00481A30"/>
    <w:rsid w:val="00481E9A"/>
    <w:rsid w:val="00484955"/>
    <w:rsid w:val="004853BC"/>
    <w:rsid w:val="0048596A"/>
    <w:rsid w:val="00487698"/>
    <w:rsid w:val="00487940"/>
    <w:rsid w:val="0049006B"/>
    <w:rsid w:val="004909F5"/>
    <w:rsid w:val="00491859"/>
    <w:rsid w:val="00492F4E"/>
    <w:rsid w:val="00493E58"/>
    <w:rsid w:val="00494209"/>
    <w:rsid w:val="004946BB"/>
    <w:rsid w:val="00496941"/>
    <w:rsid w:val="00496E4B"/>
    <w:rsid w:val="00496EFC"/>
    <w:rsid w:val="004A0024"/>
    <w:rsid w:val="004A0118"/>
    <w:rsid w:val="004A39F7"/>
    <w:rsid w:val="004A5709"/>
    <w:rsid w:val="004A6047"/>
    <w:rsid w:val="004A61CD"/>
    <w:rsid w:val="004A7239"/>
    <w:rsid w:val="004A7C6F"/>
    <w:rsid w:val="004B043D"/>
    <w:rsid w:val="004B04B3"/>
    <w:rsid w:val="004B08C7"/>
    <w:rsid w:val="004B0CEF"/>
    <w:rsid w:val="004B1252"/>
    <w:rsid w:val="004B2C92"/>
    <w:rsid w:val="004B4324"/>
    <w:rsid w:val="004B48D2"/>
    <w:rsid w:val="004B4C96"/>
    <w:rsid w:val="004B70C9"/>
    <w:rsid w:val="004B7B90"/>
    <w:rsid w:val="004C05F9"/>
    <w:rsid w:val="004C0A45"/>
    <w:rsid w:val="004C23B7"/>
    <w:rsid w:val="004C2A7D"/>
    <w:rsid w:val="004C3B78"/>
    <w:rsid w:val="004C49B8"/>
    <w:rsid w:val="004C585C"/>
    <w:rsid w:val="004C61BD"/>
    <w:rsid w:val="004C6282"/>
    <w:rsid w:val="004C670D"/>
    <w:rsid w:val="004C72F2"/>
    <w:rsid w:val="004D16DF"/>
    <w:rsid w:val="004D1C9E"/>
    <w:rsid w:val="004D2B7C"/>
    <w:rsid w:val="004D3F2B"/>
    <w:rsid w:val="004D445C"/>
    <w:rsid w:val="004D587F"/>
    <w:rsid w:val="004D5E05"/>
    <w:rsid w:val="004D6247"/>
    <w:rsid w:val="004D6E6B"/>
    <w:rsid w:val="004D78C8"/>
    <w:rsid w:val="004D7C34"/>
    <w:rsid w:val="004E0DCE"/>
    <w:rsid w:val="004E1672"/>
    <w:rsid w:val="004E2EE0"/>
    <w:rsid w:val="004E36E3"/>
    <w:rsid w:val="004E3821"/>
    <w:rsid w:val="004E5065"/>
    <w:rsid w:val="004E534D"/>
    <w:rsid w:val="004E5D66"/>
    <w:rsid w:val="004E5DA9"/>
    <w:rsid w:val="004E64A3"/>
    <w:rsid w:val="004E6903"/>
    <w:rsid w:val="004E74E1"/>
    <w:rsid w:val="004F02BD"/>
    <w:rsid w:val="004F09EB"/>
    <w:rsid w:val="004F1257"/>
    <w:rsid w:val="004F15AF"/>
    <w:rsid w:val="004F3ADD"/>
    <w:rsid w:val="004F5A6C"/>
    <w:rsid w:val="004F5FEF"/>
    <w:rsid w:val="004F697A"/>
    <w:rsid w:val="004F6E08"/>
    <w:rsid w:val="004F7C2F"/>
    <w:rsid w:val="00501085"/>
    <w:rsid w:val="005014CD"/>
    <w:rsid w:val="005026E7"/>
    <w:rsid w:val="0050384F"/>
    <w:rsid w:val="0050548B"/>
    <w:rsid w:val="005059D2"/>
    <w:rsid w:val="00505BB5"/>
    <w:rsid w:val="00506E62"/>
    <w:rsid w:val="005077AD"/>
    <w:rsid w:val="00507FBC"/>
    <w:rsid w:val="00510430"/>
    <w:rsid w:val="00510444"/>
    <w:rsid w:val="0051153C"/>
    <w:rsid w:val="00512549"/>
    <w:rsid w:val="00512854"/>
    <w:rsid w:val="00513DB9"/>
    <w:rsid w:val="00514314"/>
    <w:rsid w:val="00514678"/>
    <w:rsid w:val="00514EB3"/>
    <w:rsid w:val="00515C2D"/>
    <w:rsid w:val="00515F36"/>
    <w:rsid w:val="0051641A"/>
    <w:rsid w:val="00516F15"/>
    <w:rsid w:val="00517125"/>
    <w:rsid w:val="0051768F"/>
    <w:rsid w:val="00520856"/>
    <w:rsid w:val="005225CB"/>
    <w:rsid w:val="005229F5"/>
    <w:rsid w:val="005243F2"/>
    <w:rsid w:val="00524E59"/>
    <w:rsid w:val="0052625D"/>
    <w:rsid w:val="005264EE"/>
    <w:rsid w:val="00526F29"/>
    <w:rsid w:val="005274F2"/>
    <w:rsid w:val="00527BAD"/>
    <w:rsid w:val="00531BAA"/>
    <w:rsid w:val="005325A7"/>
    <w:rsid w:val="00532ADF"/>
    <w:rsid w:val="005367B3"/>
    <w:rsid w:val="00537BEC"/>
    <w:rsid w:val="00540436"/>
    <w:rsid w:val="0054089F"/>
    <w:rsid w:val="00540FA9"/>
    <w:rsid w:val="00546336"/>
    <w:rsid w:val="005463F3"/>
    <w:rsid w:val="00546EEF"/>
    <w:rsid w:val="00547910"/>
    <w:rsid w:val="00547B58"/>
    <w:rsid w:val="005503E7"/>
    <w:rsid w:val="005519E2"/>
    <w:rsid w:val="005521D4"/>
    <w:rsid w:val="00552FCA"/>
    <w:rsid w:val="00554890"/>
    <w:rsid w:val="00555CF9"/>
    <w:rsid w:val="0055749B"/>
    <w:rsid w:val="0056131F"/>
    <w:rsid w:val="005621D7"/>
    <w:rsid w:val="00562F05"/>
    <w:rsid w:val="00564965"/>
    <w:rsid w:val="00565822"/>
    <w:rsid w:val="00565A68"/>
    <w:rsid w:val="00566871"/>
    <w:rsid w:val="005705AC"/>
    <w:rsid w:val="005711AF"/>
    <w:rsid w:val="00575F3B"/>
    <w:rsid w:val="00576582"/>
    <w:rsid w:val="00577F31"/>
    <w:rsid w:val="00580969"/>
    <w:rsid w:val="0058226F"/>
    <w:rsid w:val="00582572"/>
    <w:rsid w:val="00582654"/>
    <w:rsid w:val="00582BFA"/>
    <w:rsid w:val="005843F8"/>
    <w:rsid w:val="00584896"/>
    <w:rsid w:val="005859C3"/>
    <w:rsid w:val="00586010"/>
    <w:rsid w:val="0058618E"/>
    <w:rsid w:val="0059498A"/>
    <w:rsid w:val="00594B78"/>
    <w:rsid w:val="005953A0"/>
    <w:rsid w:val="00596AD9"/>
    <w:rsid w:val="00596B8A"/>
    <w:rsid w:val="00596CC0"/>
    <w:rsid w:val="00597E11"/>
    <w:rsid w:val="00597E50"/>
    <w:rsid w:val="005A0111"/>
    <w:rsid w:val="005A04FA"/>
    <w:rsid w:val="005A16E2"/>
    <w:rsid w:val="005A3265"/>
    <w:rsid w:val="005A587E"/>
    <w:rsid w:val="005A5BF3"/>
    <w:rsid w:val="005A643A"/>
    <w:rsid w:val="005A68AF"/>
    <w:rsid w:val="005A6DF7"/>
    <w:rsid w:val="005A732D"/>
    <w:rsid w:val="005A7CA6"/>
    <w:rsid w:val="005A7CBA"/>
    <w:rsid w:val="005B05DB"/>
    <w:rsid w:val="005B0C3C"/>
    <w:rsid w:val="005B2A4E"/>
    <w:rsid w:val="005B4EC0"/>
    <w:rsid w:val="005B51DB"/>
    <w:rsid w:val="005B632F"/>
    <w:rsid w:val="005C0106"/>
    <w:rsid w:val="005C0845"/>
    <w:rsid w:val="005C1095"/>
    <w:rsid w:val="005C10D2"/>
    <w:rsid w:val="005C148B"/>
    <w:rsid w:val="005C2E2A"/>
    <w:rsid w:val="005C3999"/>
    <w:rsid w:val="005C3BF9"/>
    <w:rsid w:val="005C4C21"/>
    <w:rsid w:val="005C5CDD"/>
    <w:rsid w:val="005C61FB"/>
    <w:rsid w:val="005C6D32"/>
    <w:rsid w:val="005D0A43"/>
    <w:rsid w:val="005D0D4D"/>
    <w:rsid w:val="005D1EA2"/>
    <w:rsid w:val="005D2F65"/>
    <w:rsid w:val="005D3497"/>
    <w:rsid w:val="005D51AD"/>
    <w:rsid w:val="005D5D84"/>
    <w:rsid w:val="005D6098"/>
    <w:rsid w:val="005E0BEF"/>
    <w:rsid w:val="005E29FC"/>
    <w:rsid w:val="005E2B1E"/>
    <w:rsid w:val="005E4022"/>
    <w:rsid w:val="005E4757"/>
    <w:rsid w:val="005E48A5"/>
    <w:rsid w:val="005E4B8A"/>
    <w:rsid w:val="005E5339"/>
    <w:rsid w:val="005F19C3"/>
    <w:rsid w:val="005F3113"/>
    <w:rsid w:val="005F33E4"/>
    <w:rsid w:val="006012B3"/>
    <w:rsid w:val="006015C1"/>
    <w:rsid w:val="00601CAE"/>
    <w:rsid w:val="006029F4"/>
    <w:rsid w:val="00603011"/>
    <w:rsid w:val="00603132"/>
    <w:rsid w:val="006037A1"/>
    <w:rsid w:val="006041BB"/>
    <w:rsid w:val="006045F6"/>
    <w:rsid w:val="00605CFC"/>
    <w:rsid w:val="006079B1"/>
    <w:rsid w:val="006110DF"/>
    <w:rsid w:val="0061139F"/>
    <w:rsid w:val="00611F7A"/>
    <w:rsid w:val="00612414"/>
    <w:rsid w:val="0061496D"/>
    <w:rsid w:val="006155C1"/>
    <w:rsid w:val="006167AB"/>
    <w:rsid w:val="00616E5B"/>
    <w:rsid w:val="00617C58"/>
    <w:rsid w:val="00621518"/>
    <w:rsid w:val="00622960"/>
    <w:rsid w:val="0062462C"/>
    <w:rsid w:val="00625DCC"/>
    <w:rsid w:val="0062638D"/>
    <w:rsid w:val="00626574"/>
    <w:rsid w:val="0062707F"/>
    <w:rsid w:val="00627802"/>
    <w:rsid w:val="006308B3"/>
    <w:rsid w:val="00632229"/>
    <w:rsid w:val="00632DED"/>
    <w:rsid w:val="0063309C"/>
    <w:rsid w:val="00633AB9"/>
    <w:rsid w:val="00634739"/>
    <w:rsid w:val="006351EC"/>
    <w:rsid w:val="0063550F"/>
    <w:rsid w:val="00635DF4"/>
    <w:rsid w:val="00637872"/>
    <w:rsid w:val="00641D16"/>
    <w:rsid w:val="00644CDF"/>
    <w:rsid w:val="00645CC4"/>
    <w:rsid w:val="00646425"/>
    <w:rsid w:val="00647336"/>
    <w:rsid w:val="006508ED"/>
    <w:rsid w:val="00651356"/>
    <w:rsid w:val="00652B1F"/>
    <w:rsid w:val="00653587"/>
    <w:rsid w:val="00653814"/>
    <w:rsid w:val="00653F57"/>
    <w:rsid w:val="006543CF"/>
    <w:rsid w:val="00654490"/>
    <w:rsid w:val="00654536"/>
    <w:rsid w:val="00654814"/>
    <w:rsid w:val="00654DEF"/>
    <w:rsid w:val="00655346"/>
    <w:rsid w:val="00657136"/>
    <w:rsid w:val="0066047D"/>
    <w:rsid w:val="006606C0"/>
    <w:rsid w:val="00662108"/>
    <w:rsid w:val="00662B65"/>
    <w:rsid w:val="00662C73"/>
    <w:rsid w:val="00662ED9"/>
    <w:rsid w:val="00663018"/>
    <w:rsid w:val="006638B0"/>
    <w:rsid w:val="00663CE4"/>
    <w:rsid w:val="00667921"/>
    <w:rsid w:val="00673028"/>
    <w:rsid w:val="00674012"/>
    <w:rsid w:val="00674EA2"/>
    <w:rsid w:val="00676994"/>
    <w:rsid w:val="00680320"/>
    <w:rsid w:val="0068056C"/>
    <w:rsid w:val="00680825"/>
    <w:rsid w:val="00681474"/>
    <w:rsid w:val="00683BDE"/>
    <w:rsid w:val="00683C66"/>
    <w:rsid w:val="0068508B"/>
    <w:rsid w:val="00686662"/>
    <w:rsid w:val="00686DFB"/>
    <w:rsid w:val="00686FBA"/>
    <w:rsid w:val="00687B47"/>
    <w:rsid w:val="00690E97"/>
    <w:rsid w:val="00691D16"/>
    <w:rsid w:val="006923F3"/>
    <w:rsid w:val="0069372D"/>
    <w:rsid w:val="006952A5"/>
    <w:rsid w:val="00697CA7"/>
    <w:rsid w:val="006A173A"/>
    <w:rsid w:val="006A185E"/>
    <w:rsid w:val="006A37F2"/>
    <w:rsid w:val="006A46EB"/>
    <w:rsid w:val="006A61A9"/>
    <w:rsid w:val="006A68F2"/>
    <w:rsid w:val="006A7453"/>
    <w:rsid w:val="006B0AF8"/>
    <w:rsid w:val="006B22F6"/>
    <w:rsid w:val="006B3B98"/>
    <w:rsid w:val="006B3CE5"/>
    <w:rsid w:val="006B3F49"/>
    <w:rsid w:val="006B585C"/>
    <w:rsid w:val="006B5864"/>
    <w:rsid w:val="006B6041"/>
    <w:rsid w:val="006B7009"/>
    <w:rsid w:val="006B75B1"/>
    <w:rsid w:val="006B78FA"/>
    <w:rsid w:val="006C2103"/>
    <w:rsid w:val="006C49C7"/>
    <w:rsid w:val="006C50B5"/>
    <w:rsid w:val="006C548D"/>
    <w:rsid w:val="006C5EA7"/>
    <w:rsid w:val="006C6A9B"/>
    <w:rsid w:val="006C79CF"/>
    <w:rsid w:val="006D0043"/>
    <w:rsid w:val="006D12E8"/>
    <w:rsid w:val="006D1BFD"/>
    <w:rsid w:val="006D1D60"/>
    <w:rsid w:val="006D2F53"/>
    <w:rsid w:val="006D4C28"/>
    <w:rsid w:val="006D4F3A"/>
    <w:rsid w:val="006D63A2"/>
    <w:rsid w:val="006D6DFB"/>
    <w:rsid w:val="006D7B64"/>
    <w:rsid w:val="006E01B3"/>
    <w:rsid w:val="006E154D"/>
    <w:rsid w:val="006E18EE"/>
    <w:rsid w:val="006E19FD"/>
    <w:rsid w:val="006E212B"/>
    <w:rsid w:val="006E39E8"/>
    <w:rsid w:val="006E4FA3"/>
    <w:rsid w:val="006E51DA"/>
    <w:rsid w:val="006E54E4"/>
    <w:rsid w:val="006E756A"/>
    <w:rsid w:val="006F023B"/>
    <w:rsid w:val="006F1117"/>
    <w:rsid w:val="006F18A7"/>
    <w:rsid w:val="006F42F2"/>
    <w:rsid w:val="006F43ED"/>
    <w:rsid w:val="006F4BD1"/>
    <w:rsid w:val="006F4EEB"/>
    <w:rsid w:val="006F5458"/>
    <w:rsid w:val="006F751D"/>
    <w:rsid w:val="006F7B8D"/>
    <w:rsid w:val="00702333"/>
    <w:rsid w:val="0070291F"/>
    <w:rsid w:val="007029D7"/>
    <w:rsid w:val="00703DD2"/>
    <w:rsid w:val="007042E7"/>
    <w:rsid w:val="00704747"/>
    <w:rsid w:val="00707DE1"/>
    <w:rsid w:val="00707DEE"/>
    <w:rsid w:val="00710F95"/>
    <w:rsid w:val="007119B9"/>
    <w:rsid w:val="007119BB"/>
    <w:rsid w:val="00711DDD"/>
    <w:rsid w:val="007124E6"/>
    <w:rsid w:val="007126F6"/>
    <w:rsid w:val="00712DF6"/>
    <w:rsid w:val="00716792"/>
    <w:rsid w:val="00716E5C"/>
    <w:rsid w:val="00717780"/>
    <w:rsid w:val="007213FE"/>
    <w:rsid w:val="00721530"/>
    <w:rsid w:val="0072353B"/>
    <w:rsid w:val="007250E8"/>
    <w:rsid w:val="007279DC"/>
    <w:rsid w:val="00730319"/>
    <w:rsid w:val="007312E5"/>
    <w:rsid w:val="00732FE1"/>
    <w:rsid w:val="0073349F"/>
    <w:rsid w:val="0073409C"/>
    <w:rsid w:val="007347C4"/>
    <w:rsid w:val="00735088"/>
    <w:rsid w:val="007353E0"/>
    <w:rsid w:val="00735D80"/>
    <w:rsid w:val="00735E42"/>
    <w:rsid w:val="00736067"/>
    <w:rsid w:val="0073669D"/>
    <w:rsid w:val="00737DC2"/>
    <w:rsid w:val="00740432"/>
    <w:rsid w:val="00740A75"/>
    <w:rsid w:val="00741A8F"/>
    <w:rsid w:val="0074315C"/>
    <w:rsid w:val="00745DB1"/>
    <w:rsid w:val="00750B41"/>
    <w:rsid w:val="00752FDF"/>
    <w:rsid w:val="00753760"/>
    <w:rsid w:val="00753E2F"/>
    <w:rsid w:val="00754A72"/>
    <w:rsid w:val="00755142"/>
    <w:rsid w:val="00755C0B"/>
    <w:rsid w:val="00756369"/>
    <w:rsid w:val="007566B9"/>
    <w:rsid w:val="0075706E"/>
    <w:rsid w:val="00757F49"/>
    <w:rsid w:val="00761153"/>
    <w:rsid w:val="0076218D"/>
    <w:rsid w:val="00764110"/>
    <w:rsid w:val="00764C69"/>
    <w:rsid w:val="00767718"/>
    <w:rsid w:val="00767757"/>
    <w:rsid w:val="007678B7"/>
    <w:rsid w:val="007700B4"/>
    <w:rsid w:val="0077036A"/>
    <w:rsid w:val="0077041A"/>
    <w:rsid w:val="007711C8"/>
    <w:rsid w:val="00771910"/>
    <w:rsid w:val="00772D8B"/>
    <w:rsid w:val="00773D37"/>
    <w:rsid w:val="007740D2"/>
    <w:rsid w:val="00776D54"/>
    <w:rsid w:val="00777266"/>
    <w:rsid w:val="007800B8"/>
    <w:rsid w:val="0078010F"/>
    <w:rsid w:val="00781A10"/>
    <w:rsid w:val="007821DD"/>
    <w:rsid w:val="00782935"/>
    <w:rsid w:val="00783628"/>
    <w:rsid w:val="00783B75"/>
    <w:rsid w:val="00786141"/>
    <w:rsid w:val="007865DB"/>
    <w:rsid w:val="00787B55"/>
    <w:rsid w:val="00787CAF"/>
    <w:rsid w:val="00790C5A"/>
    <w:rsid w:val="0079307D"/>
    <w:rsid w:val="00793C66"/>
    <w:rsid w:val="00794F71"/>
    <w:rsid w:val="0079668A"/>
    <w:rsid w:val="007974E4"/>
    <w:rsid w:val="007976FE"/>
    <w:rsid w:val="00797F96"/>
    <w:rsid w:val="007A1673"/>
    <w:rsid w:val="007A1AAA"/>
    <w:rsid w:val="007A1E42"/>
    <w:rsid w:val="007A3BFB"/>
    <w:rsid w:val="007A4329"/>
    <w:rsid w:val="007A5CC4"/>
    <w:rsid w:val="007A778A"/>
    <w:rsid w:val="007A7BC2"/>
    <w:rsid w:val="007A7BD0"/>
    <w:rsid w:val="007B0DA5"/>
    <w:rsid w:val="007B3A32"/>
    <w:rsid w:val="007B4AB8"/>
    <w:rsid w:val="007B4EA8"/>
    <w:rsid w:val="007C0289"/>
    <w:rsid w:val="007C05B8"/>
    <w:rsid w:val="007C18A6"/>
    <w:rsid w:val="007C1BAC"/>
    <w:rsid w:val="007C26A7"/>
    <w:rsid w:val="007C3AA5"/>
    <w:rsid w:val="007C3E71"/>
    <w:rsid w:val="007C57DE"/>
    <w:rsid w:val="007C6286"/>
    <w:rsid w:val="007C7F09"/>
    <w:rsid w:val="007D09AC"/>
    <w:rsid w:val="007D14D2"/>
    <w:rsid w:val="007D17B3"/>
    <w:rsid w:val="007D1FC7"/>
    <w:rsid w:val="007D2458"/>
    <w:rsid w:val="007D3332"/>
    <w:rsid w:val="007D510F"/>
    <w:rsid w:val="007D54EC"/>
    <w:rsid w:val="007D6190"/>
    <w:rsid w:val="007D742B"/>
    <w:rsid w:val="007D7ADE"/>
    <w:rsid w:val="007E0D7B"/>
    <w:rsid w:val="007E215C"/>
    <w:rsid w:val="007E4341"/>
    <w:rsid w:val="007E4465"/>
    <w:rsid w:val="007E5F22"/>
    <w:rsid w:val="007E63E9"/>
    <w:rsid w:val="007E6A67"/>
    <w:rsid w:val="007F10E8"/>
    <w:rsid w:val="007F162A"/>
    <w:rsid w:val="007F1A7F"/>
    <w:rsid w:val="007F1EAD"/>
    <w:rsid w:val="007F4B97"/>
    <w:rsid w:val="007F512D"/>
    <w:rsid w:val="007F52F4"/>
    <w:rsid w:val="007F5FA9"/>
    <w:rsid w:val="007F7203"/>
    <w:rsid w:val="007F7A0A"/>
    <w:rsid w:val="00800E2C"/>
    <w:rsid w:val="008045D1"/>
    <w:rsid w:val="00806C58"/>
    <w:rsid w:val="00806FB9"/>
    <w:rsid w:val="00807E81"/>
    <w:rsid w:val="00810BDE"/>
    <w:rsid w:val="008132EB"/>
    <w:rsid w:val="0081340F"/>
    <w:rsid w:val="00813BB2"/>
    <w:rsid w:val="00817685"/>
    <w:rsid w:val="0081799C"/>
    <w:rsid w:val="00820A31"/>
    <w:rsid w:val="00822863"/>
    <w:rsid w:val="00826A51"/>
    <w:rsid w:val="00826A60"/>
    <w:rsid w:val="00827B36"/>
    <w:rsid w:val="00827F95"/>
    <w:rsid w:val="00833402"/>
    <w:rsid w:val="00834EF8"/>
    <w:rsid w:val="00835717"/>
    <w:rsid w:val="008371BF"/>
    <w:rsid w:val="0084086E"/>
    <w:rsid w:val="00840D82"/>
    <w:rsid w:val="00840F5D"/>
    <w:rsid w:val="00844F8C"/>
    <w:rsid w:val="0085193E"/>
    <w:rsid w:val="0085242F"/>
    <w:rsid w:val="00852DF1"/>
    <w:rsid w:val="008549AD"/>
    <w:rsid w:val="00854F23"/>
    <w:rsid w:val="0085506C"/>
    <w:rsid w:val="0085667E"/>
    <w:rsid w:val="0085668A"/>
    <w:rsid w:val="008569D9"/>
    <w:rsid w:val="00860B93"/>
    <w:rsid w:val="00860C5E"/>
    <w:rsid w:val="008615A3"/>
    <w:rsid w:val="00861956"/>
    <w:rsid w:val="0086196A"/>
    <w:rsid w:val="00861AD1"/>
    <w:rsid w:val="00862035"/>
    <w:rsid w:val="008620FE"/>
    <w:rsid w:val="00863D91"/>
    <w:rsid w:val="0086443F"/>
    <w:rsid w:val="00864843"/>
    <w:rsid w:val="00864E3D"/>
    <w:rsid w:val="008658F9"/>
    <w:rsid w:val="00866A8B"/>
    <w:rsid w:val="00866CDB"/>
    <w:rsid w:val="00866F26"/>
    <w:rsid w:val="00867304"/>
    <w:rsid w:val="00870C4F"/>
    <w:rsid w:val="008710A1"/>
    <w:rsid w:val="00872240"/>
    <w:rsid w:val="00872D80"/>
    <w:rsid w:val="00873507"/>
    <w:rsid w:val="00875AD5"/>
    <w:rsid w:val="00876974"/>
    <w:rsid w:val="0087737E"/>
    <w:rsid w:val="00881152"/>
    <w:rsid w:val="0088197B"/>
    <w:rsid w:val="00881FC8"/>
    <w:rsid w:val="00884216"/>
    <w:rsid w:val="00884DB0"/>
    <w:rsid w:val="00885527"/>
    <w:rsid w:val="00885993"/>
    <w:rsid w:val="00885B4C"/>
    <w:rsid w:val="008866D9"/>
    <w:rsid w:val="00887AE9"/>
    <w:rsid w:val="008906AF"/>
    <w:rsid w:val="00890C8A"/>
    <w:rsid w:val="00892236"/>
    <w:rsid w:val="0089364E"/>
    <w:rsid w:val="00894E01"/>
    <w:rsid w:val="00895D3F"/>
    <w:rsid w:val="008971F1"/>
    <w:rsid w:val="008A01E3"/>
    <w:rsid w:val="008A0F4F"/>
    <w:rsid w:val="008A164F"/>
    <w:rsid w:val="008A31C8"/>
    <w:rsid w:val="008A5EB1"/>
    <w:rsid w:val="008A7ADA"/>
    <w:rsid w:val="008A7B29"/>
    <w:rsid w:val="008B0140"/>
    <w:rsid w:val="008B0BFF"/>
    <w:rsid w:val="008B1568"/>
    <w:rsid w:val="008B1E47"/>
    <w:rsid w:val="008B2990"/>
    <w:rsid w:val="008B2F4F"/>
    <w:rsid w:val="008B613E"/>
    <w:rsid w:val="008B64ED"/>
    <w:rsid w:val="008B7564"/>
    <w:rsid w:val="008B7E9A"/>
    <w:rsid w:val="008C0044"/>
    <w:rsid w:val="008C20FC"/>
    <w:rsid w:val="008C3888"/>
    <w:rsid w:val="008C3EA5"/>
    <w:rsid w:val="008C3FD0"/>
    <w:rsid w:val="008C5017"/>
    <w:rsid w:val="008C65E3"/>
    <w:rsid w:val="008C6902"/>
    <w:rsid w:val="008D010C"/>
    <w:rsid w:val="008D07AC"/>
    <w:rsid w:val="008D2F9B"/>
    <w:rsid w:val="008D3420"/>
    <w:rsid w:val="008D3B79"/>
    <w:rsid w:val="008D448E"/>
    <w:rsid w:val="008D4C1E"/>
    <w:rsid w:val="008D565C"/>
    <w:rsid w:val="008D5696"/>
    <w:rsid w:val="008D5CE3"/>
    <w:rsid w:val="008D6FB0"/>
    <w:rsid w:val="008D7834"/>
    <w:rsid w:val="008D7884"/>
    <w:rsid w:val="008E26AC"/>
    <w:rsid w:val="008E2704"/>
    <w:rsid w:val="008E27C6"/>
    <w:rsid w:val="008E5DE4"/>
    <w:rsid w:val="008E6165"/>
    <w:rsid w:val="008E6BA4"/>
    <w:rsid w:val="008F079E"/>
    <w:rsid w:val="008F0A46"/>
    <w:rsid w:val="008F2B82"/>
    <w:rsid w:val="008F4605"/>
    <w:rsid w:val="008F4859"/>
    <w:rsid w:val="008F4926"/>
    <w:rsid w:val="008F6790"/>
    <w:rsid w:val="009005CF"/>
    <w:rsid w:val="009024F1"/>
    <w:rsid w:val="0090336D"/>
    <w:rsid w:val="00905EBD"/>
    <w:rsid w:val="009064F6"/>
    <w:rsid w:val="009068AD"/>
    <w:rsid w:val="009068BC"/>
    <w:rsid w:val="009107A7"/>
    <w:rsid w:val="00912658"/>
    <w:rsid w:val="009128EB"/>
    <w:rsid w:val="00913C2D"/>
    <w:rsid w:val="00914BF4"/>
    <w:rsid w:val="00915E07"/>
    <w:rsid w:val="00916144"/>
    <w:rsid w:val="00916688"/>
    <w:rsid w:val="009205A3"/>
    <w:rsid w:val="00921AB8"/>
    <w:rsid w:val="00921D0C"/>
    <w:rsid w:val="0092202D"/>
    <w:rsid w:val="009245AF"/>
    <w:rsid w:val="00924E8F"/>
    <w:rsid w:val="00925AE7"/>
    <w:rsid w:val="00927B69"/>
    <w:rsid w:val="00930456"/>
    <w:rsid w:val="0093136E"/>
    <w:rsid w:val="00931375"/>
    <w:rsid w:val="009316BC"/>
    <w:rsid w:val="00931CB9"/>
    <w:rsid w:val="009320E2"/>
    <w:rsid w:val="009324FE"/>
    <w:rsid w:val="00932EC5"/>
    <w:rsid w:val="009408B0"/>
    <w:rsid w:val="00940B6D"/>
    <w:rsid w:val="009476A0"/>
    <w:rsid w:val="00947ED9"/>
    <w:rsid w:val="009504D7"/>
    <w:rsid w:val="00954A43"/>
    <w:rsid w:val="00954ECF"/>
    <w:rsid w:val="0095622D"/>
    <w:rsid w:val="00956B31"/>
    <w:rsid w:val="009571E2"/>
    <w:rsid w:val="00957459"/>
    <w:rsid w:val="00957810"/>
    <w:rsid w:val="0096029B"/>
    <w:rsid w:val="00960727"/>
    <w:rsid w:val="0096080B"/>
    <w:rsid w:val="00960D72"/>
    <w:rsid w:val="00961A06"/>
    <w:rsid w:val="00962DB3"/>
    <w:rsid w:val="009649DF"/>
    <w:rsid w:val="00964FC3"/>
    <w:rsid w:val="00967015"/>
    <w:rsid w:val="00967E4C"/>
    <w:rsid w:val="009727B1"/>
    <w:rsid w:val="0097340E"/>
    <w:rsid w:val="00973A85"/>
    <w:rsid w:val="00974AF4"/>
    <w:rsid w:val="00975981"/>
    <w:rsid w:val="00977E94"/>
    <w:rsid w:val="009805E8"/>
    <w:rsid w:val="0098069A"/>
    <w:rsid w:val="00983677"/>
    <w:rsid w:val="009841BF"/>
    <w:rsid w:val="0098421F"/>
    <w:rsid w:val="0098558A"/>
    <w:rsid w:val="009876CE"/>
    <w:rsid w:val="009916F8"/>
    <w:rsid w:val="00993EC2"/>
    <w:rsid w:val="00994B32"/>
    <w:rsid w:val="00995107"/>
    <w:rsid w:val="009954C6"/>
    <w:rsid w:val="009957DD"/>
    <w:rsid w:val="009959EF"/>
    <w:rsid w:val="00996245"/>
    <w:rsid w:val="00996672"/>
    <w:rsid w:val="00996696"/>
    <w:rsid w:val="00996DE4"/>
    <w:rsid w:val="00997366"/>
    <w:rsid w:val="00997664"/>
    <w:rsid w:val="00997D80"/>
    <w:rsid w:val="009A0C80"/>
    <w:rsid w:val="009A0D03"/>
    <w:rsid w:val="009A0E7E"/>
    <w:rsid w:val="009A1AA3"/>
    <w:rsid w:val="009A5142"/>
    <w:rsid w:val="009A60CB"/>
    <w:rsid w:val="009A60D8"/>
    <w:rsid w:val="009A6B61"/>
    <w:rsid w:val="009A7F7D"/>
    <w:rsid w:val="009B0B28"/>
    <w:rsid w:val="009B0CB0"/>
    <w:rsid w:val="009B3C76"/>
    <w:rsid w:val="009B3FFC"/>
    <w:rsid w:val="009B5047"/>
    <w:rsid w:val="009B74AC"/>
    <w:rsid w:val="009C1147"/>
    <w:rsid w:val="009C15FB"/>
    <w:rsid w:val="009C600A"/>
    <w:rsid w:val="009C679F"/>
    <w:rsid w:val="009C7C50"/>
    <w:rsid w:val="009D0E80"/>
    <w:rsid w:val="009D165C"/>
    <w:rsid w:val="009D1791"/>
    <w:rsid w:val="009D28A4"/>
    <w:rsid w:val="009D2D8B"/>
    <w:rsid w:val="009D2FAA"/>
    <w:rsid w:val="009D554A"/>
    <w:rsid w:val="009D5C74"/>
    <w:rsid w:val="009D5FCA"/>
    <w:rsid w:val="009D76C5"/>
    <w:rsid w:val="009E37B6"/>
    <w:rsid w:val="009E4C61"/>
    <w:rsid w:val="009E5602"/>
    <w:rsid w:val="009E5606"/>
    <w:rsid w:val="009E5C97"/>
    <w:rsid w:val="009E7063"/>
    <w:rsid w:val="009E7510"/>
    <w:rsid w:val="009F0D32"/>
    <w:rsid w:val="009F1FBD"/>
    <w:rsid w:val="009F35C2"/>
    <w:rsid w:val="009F3A7F"/>
    <w:rsid w:val="009F3A88"/>
    <w:rsid w:val="009F3C4C"/>
    <w:rsid w:val="009F456E"/>
    <w:rsid w:val="009F46C8"/>
    <w:rsid w:val="009F47F1"/>
    <w:rsid w:val="009F668C"/>
    <w:rsid w:val="009F69B5"/>
    <w:rsid w:val="009F728A"/>
    <w:rsid w:val="009F74D7"/>
    <w:rsid w:val="009F76F9"/>
    <w:rsid w:val="00A004C3"/>
    <w:rsid w:val="00A03A50"/>
    <w:rsid w:val="00A04D72"/>
    <w:rsid w:val="00A0577E"/>
    <w:rsid w:val="00A05D61"/>
    <w:rsid w:val="00A0642D"/>
    <w:rsid w:val="00A0663B"/>
    <w:rsid w:val="00A06CEC"/>
    <w:rsid w:val="00A101A0"/>
    <w:rsid w:val="00A1039F"/>
    <w:rsid w:val="00A1059A"/>
    <w:rsid w:val="00A1306D"/>
    <w:rsid w:val="00A1508D"/>
    <w:rsid w:val="00A1533A"/>
    <w:rsid w:val="00A160E3"/>
    <w:rsid w:val="00A17877"/>
    <w:rsid w:val="00A17ECE"/>
    <w:rsid w:val="00A22866"/>
    <w:rsid w:val="00A22EA8"/>
    <w:rsid w:val="00A22FEE"/>
    <w:rsid w:val="00A23336"/>
    <w:rsid w:val="00A23A4C"/>
    <w:rsid w:val="00A244D1"/>
    <w:rsid w:val="00A254A6"/>
    <w:rsid w:val="00A3015B"/>
    <w:rsid w:val="00A30C9D"/>
    <w:rsid w:val="00A315C9"/>
    <w:rsid w:val="00A31CCA"/>
    <w:rsid w:val="00A32083"/>
    <w:rsid w:val="00A32883"/>
    <w:rsid w:val="00A32C4D"/>
    <w:rsid w:val="00A339B0"/>
    <w:rsid w:val="00A33ED0"/>
    <w:rsid w:val="00A3552B"/>
    <w:rsid w:val="00A3567E"/>
    <w:rsid w:val="00A35A67"/>
    <w:rsid w:val="00A35D3E"/>
    <w:rsid w:val="00A36E35"/>
    <w:rsid w:val="00A372E2"/>
    <w:rsid w:val="00A40E39"/>
    <w:rsid w:val="00A41764"/>
    <w:rsid w:val="00A42311"/>
    <w:rsid w:val="00A42884"/>
    <w:rsid w:val="00A42DC9"/>
    <w:rsid w:val="00A43A51"/>
    <w:rsid w:val="00A43B0A"/>
    <w:rsid w:val="00A43D47"/>
    <w:rsid w:val="00A4464E"/>
    <w:rsid w:val="00A45400"/>
    <w:rsid w:val="00A454CB"/>
    <w:rsid w:val="00A45868"/>
    <w:rsid w:val="00A45AD3"/>
    <w:rsid w:val="00A47587"/>
    <w:rsid w:val="00A50382"/>
    <w:rsid w:val="00A50968"/>
    <w:rsid w:val="00A50B7D"/>
    <w:rsid w:val="00A5211F"/>
    <w:rsid w:val="00A54874"/>
    <w:rsid w:val="00A55C5C"/>
    <w:rsid w:val="00A55D19"/>
    <w:rsid w:val="00A601EB"/>
    <w:rsid w:val="00A61132"/>
    <w:rsid w:val="00A63C5B"/>
    <w:rsid w:val="00A63E5A"/>
    <w:rsid w:val="00A64A1D"/>
    <w:rsid w:val="00A65982"/>
    <w:rsid w:val="00A677BF"/>
    <w:rsid w:val="00A67858"/>
    <w:rsid w:val="00A67B0D"/>
    <w:rsid w:val="00A7083E"/>
    <w:rsid w:val="00A72DDD"/>
    <w:rsid w:val="00A73E16"/>
    <w:rsid w:val="00A74715"/>
    <w:rsid w:val="00A74BAD"/>
    <w:rsid w:val="00A77683"/>
    <w:rsid w:val="00A77F19"/>
    <w:rsid w:val="00A807C6"/>
    <w:rsid w:val="00A808E1"/>
    <w:rsid w:val="00A84DC8"/>
    <w:rsid w:val="00A876CA"/>
    <w:rsid w:val="00A91B4C"/>
    <w:rsid w:val="00A91DE5"/>
    <w:rsid w:val="00A91F8F"/>
    <w:rsid w:val="00A92E74"/>
    <w:rsid w:val="00A953FB"/>
    <w:rsid w:val="00A95545"/>
    <w:rsid w:val="00A96B39"/>
    <w:rsid w:val="00AA0121"/>
    <w:rsid w:val="00AA027E"/>
    <w:rsid w:val="00AA2563"/>
    <w:rsid w:val="00AA30C9"/>
    <w:rsid w:val="00AA4507"/>
    <w:rsid w:val="00AA4B0C"/>
    <w:rsid w:val="00AA4C8F"/>
    <w:rsid w:val="00AA4DCA"/>
    <w:rsid w:val="00AA56D4"/>
    <w:rsid w:val="00AA5EDE"/>
    <w:rsid w:val="00AA7BCE"/>
    <w:rsid w:val="00AB045D"/>
    <w:rsid w:val="00AB0F6C"/>
    <w:rsid w:val="00AB2264"/>
    <w:rsid w:val="00AB4268"/>
    <w:rsid w:val="00AB4A23"/>
    <w:rsid w:val="00AB4FF5"/>
    <w:rsid w:val="00AB5BCC"/>
    <w:rsid w:val="00AB5F7D"/>
    <w:rsid w:val="00AB6A31"/>
    <w:rsid w:val="00AB6D53"/>
    <w:rsid w:val="00AB6F80"/>
    <w:rsid w:val="00AB72CA"/>
    <w:rsid w:val="00AC1410"/>
    <w:rsid w:val="00AC1A50"/>
    <w:rsid w:val="00AC2367"/>
    <w:rsid w:val="00AC2DB5"/>
    <w:rsid w:val="00AC2EBF"/>
    <w:rsid w:val="00AC5DB6"/>
    <w:rsid w:val="00AC6859"/>
    <w:rsid w:val="00AC6BFA"/>
    <w:rsid w:val="00AC7A64"/>
    <w:rsid w:val="00AC7CE2"/>
    <w:rsid w:val="00AD10DD"/>
    <w:rsid w:val="00AD1BAA"/>
    <w:rsid w:val="00AD21BD"/>
    <w:rsid w:val="00AD5183"/>
    <w:rsid w:val="00AD5368"/>
    <w:rsid w:val="00AD55CE"/>
    <w:rsid w:val="00AD5D51"/>
    <w:rsid w:val="00AE0093"/>
    <w:rsid w:val="00AE2B50"/>
    <w:rsid w:val="00AE3BDE"/>
    <w:rsid w:val="00AE494C"/>
    <w:rsid w:val="00AE4AB0"/>
    <w:rsid w:val="00AE4DED"/>
    <w:rsid w:val="00AE603C"/>
    <w:rsid w:val="00AE6415"/>
    <w:rsid w:val="00AE6A59"/>
    <w:rsid w:val="00AE7596"/>
    <w:rsid w:val="00AF07F9"/>
    <w:rsid w:val="00AF28AD"/>
    <w:rsid w:val="00AF2FA6"/>
    <w:rsid w:val="00AF3206"/>
    <w:rsid w:val="00AF33A9"/>
    <w:rsid w:val="00AF3A2F"/>
    <w:rsid w:val="00AF570C"/>
    <w:rsid w:val="00AF62A3"/>
    <w:rsid w:val="00AF67E0"/>
    <w:rsid w:val="00B00ABE"/>
    <w:rsid w:val="00B01D8A"/>
    <w:rsid w:val="00B029AC"/>
    <w:rsid w:val="00B0322F"/>
    <w:rsid w:val="00B05C19"/>
    <w:rsid w:val="00B07145"/>
    <w:rsid w:val="00B07861"/>
    <w:rsid w:val="00B0789C"/>
    <w:rsid w:val="00B108B6"/>
    <w:rsid w:val="00B10F9B"/>
    <w:rsid w:val="00B11F7A"/>
    <w:rsid w:val="00B12120"/>
    <w:rsid w:val="00B121B1"/>
    <w:rsid w:val="00B124BA"/>
    <w:rsid w:val="00B148AB"/>
    <w:rsid w:val="00B15039"/>
    <w:rsid w:val="00B15A4F"/>
    <w:rsid w:val="00B15EBA"/>
    <w:rsid w:val="00B15F56"/>
    <w:rsid w:val="00B16A5E"/>
    <w:rsid w:val="00B20007"/>
    <w:rsid w:val="00B2185A"/>
    <w:rsid w:val="00B2238C"/>
    <w:rsid w:val="00B22AFC"/>
    <w:rsid w:val="00B23BF2"/>
    <w:rsid w:val="00B26A79"/>
    <w:rsid w:val="00B26F9E"/>
    <w:rsid w:val="00B27B6F"/>
    <w:rsid w:val="00B30081"/>
    <w:rsid w:val="00B3014D"/>
    <w:rsid w:val="00B310AE"/>
    <w:rsid w:val="00B31573"/>
    <w:rsid w:val="00B31C9B"/>
    <w:rsid w:val="00B3232A"/>
    <w:rsid w:val="00B32D80"/>
    <w:rsid w:val="00B359B3"/>
    <w:rsid w:val="00B35B02"/>
    <w:rsid w:val="00B36E99"/>
    <w:rsid w:val="00B4092F"/>
    <w:rsid w:val="00B40E37"/>
    <w:rsid w:val="00B41539"/>
    <w:rsid w:val="00B437BE"/>
    <w:rsid w:val="00B440DE"/>
    <w:rsid w:val="00B4457B"/>
    <w:rsid w:val="00B44C2F"/>
    <w:rsid w:val="00B44E3D"/>
    <w:rsid w:val="00B44FED"/>
    <w:rsid w:val="00B46D7F"/>
    <w:rsid w:val="00B46E1E"/>
    <w:rsid w:val="00B475AA"/>
    <w:rsid w:val="00B47E00"/>
    <w:rsid w:val="00B53E12"/>
    <w:rsid w:val="00B543D6"/>
    <w:rsid w:val="00B54C8A"/>
    <w:rsid w:val="00B5613F"/>
    <w:rsid w:val="00B5658F"/>
    <w:rsid w:val="00B56B92"/>
    <w:rsid w:val="00B57CF0"/>
    <w:rsid w:val="00B602F7"/>
    <w:rsid w:val="00B6137A"/>
    <w:rsid w:val="00B63217"/>
    <w:rsid w:val="00B663DE"/>
    <w:rsid w:val="00B671B6"/>
    <w:rsid w:val="00B700ED"/>
    <w:rsid w:val="00B7040F"/>
    <w:rsid w:val="00B71486"/>
    <w:rsid w:val="00B73BC9"/>
    <w:rsid w:val="00B73CDA"/>
    <w:rsid w:val="00B749F0"/>
    <w:rsid w:val="00B756D0"/>
    <w:rsid w:val="00B75CC3"/>
    <w:rsid w:val="00B7727A"/>
    <w:rsid w:val="00B77FC1"/>
    <w:rsid w:val="00B807D5"/>
    <w:rsid w:val="00B8513D"/>
    <w:rsid w:val="00B86330"/>
    <w:rsid w:val="00B86B85"/>
    <w:rsid w:val="00B87314"/>
    <w:rsid w:val="00B91E98"/>
    <w:rsid w:val="00B9238C"/>
    <w:rsid w:val="00B932CA"/>
    <w:rsid w:val="00B9412C"/>
    <w:rsid w:val="00B95DED"/>
    <w:rsid w:val="00B964E7"/>
    <w:rsid w:val="00B9679B"/>
    <w:rsid w:val="00B96A83"/>
    <w:rsid w:val="00BA046E"/>
    <w:rsid w:val="00BA4EE9"/>
    <w:rsid w:val="00BA5762"/>
    <w:rsid w:val="00BA5ACD"/>
    <w:rsid w:val="00BA5DA2"/>
    <w:rsid w:val="00BA5EAE"/>
    <w:rsid w:val="00BA5F14"/>
    <w:rsid w:val="00BA6353"/>
    <w:rsid w:val="00BA65BC"/>
    <w:rsid w:val="00BB1A57"/>
    <w:rsid w:val="00BB1E82"/>
    <w:rsid w:val="00BB257D"/>
    <w:rsid w:val="00BB2C32"/>
    <w:rsid w:val="00BB36BC"/>
    <w:rsid w:val="00BB3723"/>
    <w:rsid w:val="00BB4CCB"/>
    <w:rsid w:val="00BB5907"/>
    <w:rsid w:val="00BB6548"/>
    <w:rsid w:val="00BB6AE8"/>
    <w:rsid w:val="00BC019B"/>
    <w:rsid w:val="00BC09F0"/>
    <w:rsid w:val="00BC216B"/>
    <w:rsid w:val="00BC3297"/>
    <w:rsid w:val="00BC3865"/>
    <w:rsid w:val="00BC48F1"/>
    <w:rsid w:val="00BC4ABA"/>
    <w:rsid w:val="00BC5586"/>
    <w:rsid w:val="00BC6BCE"/>
    <w:rsid w:val="00BD30BD"/>
    <w:rsid w:val="00BD3EBC"/>
    <w:rsid w:val="00BD4F4E"/>
    <w:rsid w:val="00BD4FDC"/>
    <w:rsid w:val="00BD5276"/>
    <w:rsid w:val="00BD541E"/>
    <w:rsid w:val="00BD55D5"/>
    <w:rsid w:val="00BD5B61"/>
    <w:rsid w:val="00BD760B"/>
    <w:rsid w:val="00BE1207"/>
    <w:rsid w:val="00BE238E"/>
    <w:rsid w:val="00BE325F"/>
    <w:rsid w:val="00BE3292"/>
    <w:rsid w:val="00BE388A"/>
    <w:rsid w:val="00BE3BAD"/>
    <w:rsid w:val="00BE3D8A"/>
    <w:rsid w:val="00BE4532"/>
    <w:rsid w:val="00BE4B7F"/>
    <w:rsid w:val="00BE4D01"/>
    <w:rsid w:val="00BE5766"/>
    <w:rsid w:val="00BE790A"/>
    <w:rsid w:val="00BE7A1F"/>
    <w:rsid w:val="00BF10B6"/>
    <w:rsid w:val="00BF1CCA"/>
    <w:rsid w:val="00BF2D52"/>
    <w:rsid w:val="00BF5A3D"/>
    <w:rsid w:val="00BF60DB"/>
    <w:rsid w:val="00BF7467"/>
    <w:rsid w:val="00BF7FDC"/>
    <w:rsid w:val="00C00429"/>
    <w:rsid w:val="00C00FB5"/>
    <w:rsid w:val="00C01505"/>
    <w:rsid w:val="00C0212C"/>
    <w:rsid w:val="00C04E2D"/>
    <w:rsid w:val="00C063B5"/>
    <w:rsid w:val="00C06A83"/>
    <w:rsid w:val="00C07DB1"/>
    <w:rsid w:val="00C10D0C"/>
    <w:rsid w:val="00C11A2B"/>
    <w:rsid w:val="00C1385A"/>
    <w:rsid w:val="00C214B0"/>
    <w:rsid w:val="00C21A72"/>
    <w:rsid w:val="00C21B2A"/>
    <w:rsid w:val="00C21D91"/>
    <w:rsid w:val="00C22392"/>
    <w:rsid w:val="00C225E2"/>
    <w:rsid w:val="00C22DED"/>
    <w:rsid w:val="00C23077"/>
    <w:rsid w:val="00C24727"/>
    <w:rsid w:val="00C2600B"/>
    <w:rsid w:val="00C306CE"/>
    <w:rsid w:val="00C314A8"/>
    <w:rsid w:val="00C36DB2"/>
    <w:rsid w:val="00C37875"/>
    <w:rsid w:val="00C400AF"/>
    <w:rsid w:val="00C4097E"/>
    <w:rsid w:val="00C40D70"/>
    <w:rsid w:val="00C40FC0"/>
    <w:rsid w:val="00C4124A"/>
    <w:rsid w:val="00C43325"/>
    <w:rsid w:val="00C437A1"/>
    <w:rsid w:val="00C443FA"/>
    <w:rsid w:val="00C45448"/>
    <w:rsid w:val="00C461E8"/>
    <w:rsid w:val="00C464F0"/>
    <w:rsid w:val="00C46694"/>
    <w:rsid w:val="00C47015"/>
    <w:rsid w:val="00C472CE"/>
    <w:rsid w:val="00C51552"/>
    <w:rsid w:val="00C529DB"/>
    <w:rsid w:val="00C53967"/>
    <w:rsid w:val="00C53CAE"/>
    <w:rsid w:val="00C54357"/>
    <w:rsid w:val="00C54BDD"/>
    <w:rsid w:val="00C55051"/>
    <w:rsid w:val="00C550FC"/>
    <w:rsid w:val="00C56862"/>
    <w:rsid w:val="00C576AF"/>
    <w:rsid w:val="00C62351"/>
    <w:rsid w:val="00C62521"/>
    <w:rsid w:val="00C63D89"/>
    <w:rsid w:val="00C65F1E"/>
    <w:rsid w:val="00C676BD"/>
    <w:rsid w:val="00C67D5E"/>
    <w:rsid w:val="00C716C8"/>
    <w:rsid w:val="00C71820"/>
    <w:rsid w:val="00C71FD9"/>
    <w:rsid w:val="00C72251"/>
    <w:rsid w:val="00C73F82"/>
    <w:rsid w:val="00C751ED"/>
    <w:rsid w:val="00C75DF7"/>
    <w:rsid w:val="00C76494"/>
    <w:rsid w:val="00C7681F"/>
    <w:rsid w:val="00C76E49"/>
    <w:rsid w:val="00C7794A"/>
    <w:rsid w:val="00C77F35"/>
    <w:rsid w:val="00C8111F"/>
    <w:rsid w:val="00C8170E"/>
    <w:rsid w:val="00C81D40"/>
    <w:rsid w:val="00C828B9"/>
    <w:rsid w:val="00C829E0"/>
    <w:rsid w:val="00C84359"/>
    <w:rsid w:val="00C84A51"/>
    <w:rsid w:val="00C84DBF"/>
    <w:rsid w:val="00C87915"/>
    <w:rsid w:val="00C87C81"/>
    <w:rsid w:val="00C905CC"/>
    <w:rsid w:val="00C9102A"/>
    <w:rsid w:val="00C91B65"/>
    <w:rsid w:val="00C92AA9"/>
    <w:rsid w:val="00C93415"/>
    <w:rsid w:val="00C9362B"/>
    <w:rsid w:val="00C941B6"/>
    <w:rsid w:val="00C960CE"/>
    <w:rsid w:val="00C967FE"/>
    <w:rsid w:val="00C97C79"/>
    <w:rsid w:val="00CA02E8"/>
    <w:rsid w:val="00CA0D6D"/>
    <w:rsid w:val="00CA20F1"/>
    <w:rsid w:val="00CA2106"/>
    <w:rsid w:val="00CA52AF"/>
    <w:rsid w:val="00CA5BFB"/>
    <w:rsid w:val="00CA5DC7"/>
    <w:rsid w:val="00CA5EC3"/>
    <w:rsid w:val="00CA7745"/>
    <w:rsid w:val="00CB06B1"/>
    <w:rsid w:val="00CB3589"/>
    <w:rsid w:val="00CB3D82"/>
    <w:rsid w:val="00CB4213"/>
    <w:rsid w:val="00CB5FC9"/>
    <w:rsid w:val="00CB60CB"/>
    <w:rsid w:val="00CB6489"/>
    <w:rsid w:val="00CB6932"/>
    <w:rsid w:val="00CB74BD"/>
    <w:rsid w:val="00CC0353"/>
    <w:rsid w:val="00CC14C7"/>
    <w:rsid w:val="00CC18CC"/>
    <w:rsid w:val="00CC2914"/>
    <w:rsid w:val="00CC2E23"/>
    <w:rsid w:val="00CC316A"/>
    <w:rsid w:val="00CC3651"/>
    <w:rsid w:val="00CC46FA"/>
    <w:rsid w:val="00CC76C6"/>
    <w:rsid w:val="00CD0C48"/>
    <w:rsid w:val="00CD17FC"/>
    <w:rsid w:val="00CD253A"/>
    <w:rsid w:val="00CD2F52"/>
    <w:rsid w:val="00CD30B2"/>
    <w:rsid w:val="00CD4635"/>
    <w:rsid w:val="00CD4A90"/>
    <w:rsid w:val="00CD6B50"/>
    <w:rsid w:val="00CD725B"/>
    <w:rsid w:val="00CD7BA7"/>
    <w:rsid w:val="00CD7F2F"/>
    <w:rsid w:val="00CE13A1"/>
    <w:rsid w:val="00CE3985"/>
    <w:rsid w:val="00CE5958"/>
    <w:rsid w:val="00CE70B2"/>
    <w:rsid w:val="00CE7AE9"/>
    <w:rsid w:val="00CE7D0A"/>
    <w:rsid w:val="00CE7D97"/>
    <w:rsid w:val="00CE7E8D"/>
    <w:rsid w:val="00CF03C2"/>
    <w:rsid w:val="00CF09E1"/>
    <w:rsid w:val="00CF0A64"/>
    <w:rsid w:val="00CF0AE6"/>
    <w:rsid w:val="00CF0F1B"/>
    <w:rsid w:val="00CF238E"/>
    <w:rsid w:val="00CF28E1"/>
    <w:rsid w:val="00CF360E"/>
    <w:rsid w:val="00CF3909"/>
    <w:rsid w:val="00CF45C6"/>
    <w:rsid w:val="00CF46EE"/>
    <w:rsid w:val="00CF528F"/>
    <w:rsid w:val="00CF5519"/>
    <w:rsid w:val="00CF5EE9"/>
    <w:rsid w:val="00CF6988"/>
    <w:rsid w:val="00CF7528"/>
    <w:rsid w:val="00D0002C"/>
    <w:rsid w:val="00D01C41"/>
    <w:rsid w:val="00D0220C"/>
    <w:rsid w:val="00D03727"/>
    <w:rsid w:val="00D04204"/>
    <w:rsid w:val="00D04729"/>
    <w:rsid w:val="00D04F2E"/>
    <w:rsid w:val="00D05B18"/>
    <w:rsid w:val="00D070B0"/>
    <w:rsid w:val="00D070C7"/>
    <w:rsid w:val="00D104DB"/>
    <w:rsid w:val="00D10C0F"/>
    <w:rsid w:val="00D10D52"/>
    <w:rsid w:val="00D117AD"/>
    <w:rsid w:val="00D1280F"/>
    <w:rsid w:val="00D12881"/>
    <w:rsid w:val="00D13876"/>
    <w:rsid w:val="00D15398"/>
    <w:rsid w:val="00D17BCC"/>
    <w:rsid w:val="00D23146"/>
    <w:rsid w:val="00D23A46"/>
    <w:rsid w:val="00D24BD9"/>
    <w:rsid w:val="00D24F31"/>
    <w:rsid w:val="00D256CA"/>
    <w:rsid w:val="00D26150"/>
    <w:rsid w:val="00D26740"/>
    <w:rsid w:val="00D32770"/>
    <w:rsid w:val="00D32D81"/>
    <w:rsid w:val="00D34C5C"/>
    <w:rsid w:val="00D3729C"/>
    <w:rsid w:val="00D376AE"/>
    <w:rsid w:val="00D40B2F"/>
    <w:rsid w:val="00D41A72"/>
    <w:rsid w:val="00D43236"/>
    <w:rsid w:val="00D4479A"/>
    <w:rsid w:val="00D45076"/>
    <w:rsid w:val="00D4610F"/>
    <w:rsid w:val="00D47A63"/>
    <w:rsid w:val="00D50371"/>
    <w:rsid w:val="00D50712"/>
    <w:rsid w:val="00D51E3D"/>
    <w:rsid w:val="00D52015"/>
    <w:rsid w:val="00D523C3"/>
    <w:rsid w:val="00D559BE"/>
    <w:rsid w:val="00D5652D"/>
    <w:rsid w:val="00D6161C"/>
    <w:rsid w:val="00D622B8"/>
    <w:rsid w:val="00D62874"/>
    <w:rsid w:val="00D643DA"/>
    <w:rsid w:val="00D64A8F"/>
    <w:rsid w:val="00D64C1C"/>
    <w:rsid w:val="00D64FE8"/>
    <w:rsid w:val="00D650BF"/>
    <w:rsid w:val="00D65F74"/>
    <w:rsid w:val="00D663CB"/>
    <w:rsid w:val="00D663F9"/>
    <w:rsid w:val="00D664E4"/>
    <w:rsid w:val="00D717A0"/>
    <w:rsid w:val="00D752D5"/>
    <w:rsid w:val="00D76157"/>
    <w:rsid w:val="00D76DEF"/>
    <w:rsid w:val="00D80818"/>
    <w:rsid w:val="00D82981"/>
    <w:rsid w:val="00D86926"/>
    <w:rsid w:val="00D8786A"/>
    <w:rsid w:val="00D9113A"/>
    <w:rsid w:val="00D9136A"/>
    <w:rsid w:val="00D92503"/>
    <w:rsid w:val="00D92EE7"/>
    <w:rsid w:val="00D93289"/>
    <w:rsid w:val="00D93567"/>
    <w:rsid w:val="00D94004"/>
    <w:rsid w:val="00D94407"/>
    <w:rsid w:val="00D95588"/>
    <w:rsid w:val="00D97A6A"/>
    <w:rsid w:val="00DA0330"/>
    <w:rsid w:val="00DA0CA2"/>
    <w:rsid w:val="00DA179F"/>
    <w:rsid w:val="00DA1A73"/>
    <w:rsid w:val="00DA222A"/>
    <w:rsid w:val="00DA2D98"/>
    <w:rsid w:val="00DA384F"/>
    <w:rsid w:val="00DA3B34"/>
    <w:rsid w:val="00DA43AF"/>
    <w:rsid w:val="00DA48A1"/>
    <w:rsid w:val="00DA4977"/>
    <w:rsid w:val="00DA5D74"/>
    <w:rsid w:val="00DA63CD"/>
    <w:rsid w:val="00DA6CE5"/>
    <w:rsid w:val="00DA7183"/>
    <w:rsid w:val="00DB3843"/>
    <w:rsid w:val="00DB45F4"/>
    <w:rsid w:val="00DB6019"/>
    <w:rsid w:val="00DC0285"/>
    <w:rsid w:val="00DC043E"/>
    <w:rsid w:val="00DC050B"/>
    <w:rsid w:val="00DC183F"/>
    <w:rsid w:val="00DC3304"/>
    <w:rsid w:val="00DC464C"/>
    <w:rsid w:val="00DC4CCD"/>
    <w:rsid w:val="00DC5720"/>
    <w:rsid w:val="00DC664D"/>
    <w:rsid w:val="00DD12D1"/>
    <w:rsid w:val="00DD195E"/>
    <w:rsid w:val="00DD25BF"/>
    <w:rsid w:val="00DD60B4"/>
    <w:rsid w:val="00DD76DF"/>
    <w:rsid w:val="00DE241B"/>
    <w:rsid w:val="00DE2EB4"/>
    <w:rsid w:val="00DE3059"/>
    <w:rsid w:val="00DE37B0"/>
    <w:rsid w:val="00DE390E"/>
    <w:rsid w:val="00DE3F62"/>
    <w:rsid w:val="00DE46E7"/>
    <w:rsid w:val="00DE48A1"/>
    <w:rsid w:val="00DE53C0"/>
    <w:rsid w:val="00DE5524"/>
    <w:rsid w:val="00DE7548"/>
    <w:rsid w:val="00DF006F"/>
    <w:rsid w:val="00DF00AB"/>
    <w:rsid w:val="00DF032D"/>
    <w:rsid w:val="00DF0357"/>
    <w:rsid w:val="00DF3C14"/>
    <w:rsid w:val="00DF4384"/>
    <w:rsid w:val="00DF45D5"/>
    <w:rsid w:val="00DF6EB1"/>
    <w:rsid w:val="00E01554"/>
    <w:rsid w:val="00E01F0A"/>
    <w:rsid w:val="00E0246C"/>
    <w:rsid w:val="00E028B6"/>
    <w:rsid w:val="00E03AA2"/>
    <w:rsid w:val="00E04B2A"/>
    <w:rsid w:val="00E065F4"/>
    <w:rsid w:val="00E07577"/>
    <w:rsid w:val="00E076CB"/>
    <w:rsid w:val="00E07AE3"/>
    <w:rsid w:val="00E07EEF"/>
    <w:rsid w:val="00E109E0"/>
    <w:rsid w:val="00E1181F"/>
    <w:rsid w:val="00E12866"/>
    <w:rsid w:val="00E12CC2"/>
    <w:rsid w:val="00E14FA5"/>
    <w:rsid w:val="00E1549E"/>
    <w:rsid w:val="00E16079"/>
    <w:rsid w:val="00E16407"/>
    <w:rsid w:val="00E20527"/>
    <w:rsid w:val="00E2108A"/>
    <w:rsid w:val="00E21E3E"/>
    <w:rsid w:val="00E21EB9"/>
    <w:rsid w:val="00E22229"/>
    <w:rsid w:val="00E2326F"/>
    <w:rsid w:val="00E24A16"/>
    <w:rsid w:val="00E26A3A"/>
    <w:rsid w:val="00E2734F"/>
    <w:rsid w:val="00E2795C"/>
    <w:rsid w:val="00E27C34"/>
    <w:rsid w:val="00E32A93"/>
    <w:rsid w:val="00E32AE1"/>
    <w:rsid w:val="00E32B06"/>
    <w:rsid w:val="00E33F1F"/>
    <w:rsid w:val="00E35509"/>
    <w:rsid w:val="00E35BBD"/>
    <w:rsid w:val="00E3785F"/>
    <w:rsid w:val="00E411EA"/>
    <w:rsid w:val="00E422CD"/>
    <w:rsid w:val="00E443DE"/>
    <w:rsid w:val="00E4476B"/>
    <w:rsid w:val="00E450AB"/>
    <w:rsid w:val="00E45DEA"/>
    <w:rsid w:val="00E4623C"/>
    <w:rsid w:val="00E503F0"/>
    <w:rsid w:val="00E5090A"/>
    <w:rsid w:val="00E50943"/>
    <w:rsid w:val="00E509DB"/>
    <w:rsid w:val="00E50D86"/>
    <w:rsid w:val="00E520A8"/>
    <w:rsid w:val="00E523F2"/>
    <w:rsid w:val="00E526C6"/>
    <w:rsid w:val="00E542F1"/>
    <w:rsid w:val="00E54CEA"/>
    <w:rsid w:val="00E55693"/>
    <w:rsid w:val="00E56343"/>
    <w:rsid w:val="00E56D65"/>
    <w:rsid w:val="00E56E0E"/>
    <w:rsid w:val="00E572C7"/>
    <w:rsid w:val="00E57371"/>
    <w:rsid w:val="00E60538"/>
    <w:rsid w:val="00E60AC4"/>
    <w:rsid w:val="00E6113A"/>
    <w:rsid w:val="00E640FD"/>
    <w:rsid w:val="00E64A06"/>
    <w:rsid w:val="00E64FFB"/>
    <w:rsid w:val="00E65AFF"/>
    <w:rsid w:val="00E666E3"/>
    <w:rsid w:val="00E66AC8"/>
    <w:rsid w:val="00E6700B"/>
    <w:rsid w:val="00E6752D"/>
    <w:rsid w:val="00E70DDB"/>
    <w:rsid w:val="00E72104"/>
    <w:rsid w:val="00E73177"/>
    <w:rsid w:val="00E744CF"/>
    <w:rsid w:val="00E74E83"/>
    <w:rsid w:val="00E767EB"/>
    <w:rsid w:val="00E802CC"/>
    <w:rsid w:val="00E80446"/>
    <w:rsid w:val="00E815BA"/>
    <w:rsid w:val="00E82513"/>
    <w:rsid w:val="00E83427"/>
    <w:rsid w:val="00E8375A"/>
    <w:rsid w:val="00E84077"/>
    <w:rsid w:val="00E849E7"/>
    <w:rsid w:val="00E85B36"/>
    <w:rsid w:val="00E8655F"/>
    <w:rsid w:val="00E90173"/>
    <w:rsid w:val="00E906C7"/>
    <w:rsid w:val="00E913D7"/>
    <w:rsid w:val="00E92F16"/>
    <w:rsid w:val="00E93609"/>
    <w:rsid w:val="00E940B4"/>
    <w:rsid w:val="00E94547"/>
    <w:rsid w:val="00E96091"/>
    <w:rsid w:val="00E96487"/>
    <w:rsid w:val="00EA1352"/>
    <w:rsid w:val="00EA314A"/>
    <w:rsid w:val="00EA3A4D"/>
    <w:rsid w:val="00EA4045"/>
    <w:rsid w:val="00EA51A4"/>
    <w:rsid w:val="00EA6419"/>
    <w:rsid w:val="00EA72DA"/>
    <w:rsid w:val="00EA75A8"/>
    <w:rsid w:val="00EB14A9"/>
    <w:rsid w:val="00EB2656"/>
    <w:rsid w:val="00EB3AA5"/>
    <w:rsid w:val="00EB3C68"/>
    <w:rsid w:val="00EB4117"/>
    <w:rsid w:val="00EB5394"/>
    <w:rsid w:val="00EB5B06"/>
    <w:rsid w:val="00EB7A73"/>
    <w:rsid w:val="00EC0CE7"/>
    <w:rsid w:val="00EC18F6"/>
    <w:rsid w:val="00EC234D"/>
    <w:rsid w:val="00EC2A8A"/>
    <w:rsid w:val="00EC40BC"/>
    <w:rsid w:val="00EC7EC2"/>
    <w:rsid w:val="00ED0B73"/>
    <w:rsid w:val="00ED0B97"/>
    <w:rsid w:val="00ED0F4E"/>
    <w:rsid w:val="00ED218B"/>
    <w:rsid w:val="00ED2C9F"/>
    <w:rsid w:val="00ED5756"/>
    <w:rsid w:val="00ED66A0"/>
    <w:rsid w:val="00ED77D5"/>
    <w:rsid w:val="00ED79BC"/>
    <w:rsid w:val="00EE11A9"/>
    <w:rsid w:val="00EE2643"/>
    <w:rsid w:val="00EE3110"/>
    <w:rsid w:val="00EE38F7"/>
    <w:rsid w:val="00EE3A88"/>
    <w:rsid w:val="00EE53C3"/>
    <w:rsid w:val="00EE592F"/>
    <w:rsid w:val="00EE5D0F"/>
    <w:rsid w:val="00EE7571"/>
    <w:rsid w:val="00EF026C"/>
    <w:rsid w:val="00EF0745"/>
    <w:rsid w:val="00EF0C55"/>
    <w:rsid w:val="00EF20E9"/>
    <w:rsid w:val="00EF300F"/>
    <w:rsid w:val="00EF3761"/>
    <w:rsid w:val="00EF5762"/>
    <w:rsid w:val="00EF6182"/>
    <w:rsid w:val="00EF6F06"/>
    <w:rsid w:val="00F014BF"/>
    <w:rsid w:val="00F02BF6"/>
    <w:rsid w:val="00F036CC"/>
    <w:rsid w:val="00F05447"/>
    <w:rsid w:val="00F057B1"/>
    <w:rsid w:val="00F05D5E"/>
    <w:rsid w:val="00F07185"/>
    <w:rsid w:val="00F10116"/>
    <w:rsid w:val="00F10695"/>
    <w:rsid w:val="00F11CC3"/>
    <w:rsid w:val="00F11E6B"/>
    <w:rsid w:val="00F12785"/>
    <w:rsid w:val="00F129A7"/>
    <w:rsid w:val="00F12B5E"/>
    <w:rsid w:val="00F137F4"/>
    <w:rsid w:val="00F1383D"/>
    <w:rsid w:val="00F15FBB"/>
    <w:rsid w:val="00F169A1"/>
    <w:rsid w:val="00F16B57"/>
    <w:rsid w:val="00F179EF"/>
    <w:rsid w:val="00F22C7E"/>
    <w:rsid w:val="00F22F67"/>
    <w:rsid w:val="00F234E1"/>
    <w:rsid w:val="00F24942"/>
    <w:rsid w:val="00F335FF"/>
    <w:rsid w:val="00F40512"/>
    <w:rsid w:val="00F456DA"/>
    <w:rsid w:val="00F45896"/>
    <w:rsid w:val="00F4735A"/>
    <w:rsid w:val="00F47A63"/>
    <w:rsid w:val="00F50421"/>
    <w:rsid w:val="00F50F6A"/>
    <w:rsid w:val="00F51D06"/>
    <w:rsid w:val="00F5201F"/>
    <w:rsid w:val="00F5419A"/>
    <w:rsid w:val="00F547EF"/>
    <w:rsid w:val="00F550BC"/>
    <w:rsid w:val="00F55D6D"/>
    <w:rsid w:val="00F612F1"/>
    <w:rsid w:val="00F6145B"/>
    <w:rsid w:val="00F62468"/>
    <w:rsid w:val="00F62C15"/>
    <w:rsid w:val="00F63798"/>
    <w:rsid w:val="00F63B66"/>
    <w:rsid w:val="00F662FD"/>
    <w:rsid w:val="00F6635C"/>
    <w:rsid w:val="00F6658A"/>
    <w:rsid w:val="00F66B9C"/>
    <w:rsid w:val="00F675C3"/>
    <w:rsid w:val="00F708DC"/>
    <w:rsid w:val="00F72C68"/>
    <w:rsid w:val="00F7471A"/>
    <w:rsid w:val="00F74EAF"/>
    <w:rsid w:val="00F762A8"/>
    <w:rsid w:val="00F802E0"/>
    <w:rsid w:val="00F81E1D"/>
    <w:rsid w:val="00F82156"/>
    <w:rsid w:val="00F84CD2"/>
    <w:rsid w:val="00F85170"/>
    <w:rsid w:val="00F86000"/>
    <w:rsid w:val="00F8652B"/>
    <w:rsid w:val="00F907C0"/>
    <w:rsid w:val="00F90D2C"/>
    <w:rsid w:val="00F91388"/>
    <w:rsid w:val="00F93AFA"/>
    <w:rsid w:val="00F9560B"/>
    <w:rsid w:val="00F95B30"/>
    <w:rsid w:val="00F96863"/>
    <w:rsid w:val="00FA0C41"/>
    <w:rsid w:val="00FA0D0C"/>
    <w:rsid w:val="00FA0E84"/>
    <w:rsid w:val="00FA2479"/>
    <w:rsid w:val="00FA4D2D"/>
    <w:rsid w:val="00FA506E"/>
    <w:rsid w:val="00FA544C"/>
    <w:rsid w:val="00FA5CB6"/>
    <w:rsid w:val="00FA5F30"/>
    <w:rsid w:val="00FA6013"/>
    <w:rsid w:val="00FA6CD1"/>
    <w:rsid w:val="00FA7739"/>
    <w:rsid w:val="00FB0F23"/>
    <w:rsid w:val="00FB135D"/>
    <w:rsid w:val="00FB1FB0"/>
    <w:rsid w:val="00FB373E"/>
    <w:rsid w:val="00FB3E09"/>
    <w:rsid w:val="00FB3E3B"/>
    <w:rsid w:val="00FB6DC1"/>
    <w:rsid w:val="00FB737C"/>
    <w:rsid w:val="00FB7EBF"/>
    <w:rsid w:val="00FC0010"/>
    <w:rsid w:val="00FC0670"/>
    <w:rsid w:val="00FC078B"/>
    <w:rsid w:val="00FC1E76"/>
    <w:rsid w:val="00FC53D4"/>
    <w:rsid w:val="00FC6540"/>
    <w:rsid w:val="00FC7337"/>
    <w:rsid w:val="00FC7410"/>
    <w:rsid w:val="00FD10C4"/>
    <w:rsid w:val="00FD49DE"/>
    <w:rsid w:val="00FD4C9F"/>
    <w:rsid w:val="00FD4E84"/>
    <w:rsid w:val="00FD5B08"/>
    <w:rsid w:val="00FD617B"/>
    <w:rsid w:val="00FE1039"/>
    <w:rsid w:val="00FE59FC"/>
    <w:rsid w:val="00FE5D98"/>
    <w:rsid w:val="00FF0B66"/>
    <w:rsid w:val="00FF41F7"/>
    <w:rsid w:val="00FF63CB"/>
    <w:rsid w:val="00FF7607"/>
    <w:rsid w:val="0139154A"/>
    <w:rsid w:val="0F156C24"/>
    <w:rsid w:val="13E946D3"/>
    <w:rsid w:val="15667689"/>
    <w:rsid w:val="1B657719"/>
    <w:rsid w:val="1CD01A7E"/>
    <w:rsid w:val="26223C33"/>
    <w:rsid w:val="323D5EBE"/>
    <w:rsid w:val="33F34FB7"/>
    <w:rsid w:val="344277BC"/>
    <w:rsid w:val="400705E8"/>
    <w:rsid w:val="40A37F92"/>
    <w:rsid w:val="416F2BF4"/>
    <w:rsid w:val="43875F04"/>
    <w:rsid w:val="49403FF9"/>
    <w:rsid w:val="4C481C51"/>
    <w:rsid w:val="52CE33D7"/>
    <w:rsid w:val="54047234"/>
    <w:rsid w:val="545F07AB"/>
    <w:rsid w:val="55530826"/>
    <w:rsid w:val="616C2DE2"/>
    <w:rsid w:val="625F4486"/>
    <w:rsid w:val="68CD7967"/>
    <w:rsid w:val="696A1E35"/>
    <w:rsid w:val="6D461069"/>
    <w:rsid w:val="78D60A66"/>
    <w:rsid w:val="7A423ACA"/>
    <w:rsid w:val="7ABA449D"/>
    <w:rsid w:val="7B20739F"/>
    <w:rsid w:val="7B3B0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四级标题"/>
    <w:basedOn w:val="3"/>
    <w:qFormat/>
    <w:uiPriority w:val="0"/>
    <w:rPr>
      <w:rFonts w:eastAsia="黑体"/>
    </w:rPr>
  </w:style>
  <w:style w:type="paragraph" w:styleId="3">
    <w:name w:val="Date"/>
    <w:basedOn w:val="1"/>
    <w:next w:val="1"/>
    <w:qFormat/>
    <w:uiPriority w:val="0"/>
    <w:pPr>
      <w:ind w:left="100" w:leftChars="2500"/>
    </w:pPr>
    <w:rPr>
      <w:kern w:val="0"/>
      <w:sz w:val="20"/>
    </w:rPr>
  </w:style>
  <w:style w:type="paragraph" w:styleId="5">
    <w:name w:val="Normal Indent"/>
    <w:basedOn w:val="1"/>
    <w:qFormat/>
    <w:uiPriority w:val="0"/>
    <w:pPr>
      <w:adjustRightInd w:val="0"/>
      <w:spacing w:line="360" w:lineRule="atLeast"/>
      <w:ind w:firstLine="482"/>
      <w:textAlignment w:val="baseline"/>
    </w:pPr>
    <w:rPr>
      <w:kern w:val="0"/>
      <w:sz w:val="24"/>
    </w:rPr>
  </w:style>
  <w:style w:type="paragraph" w:styleId="6">
    <w:name w:val="Body Text"/>
    <w:basedOn w:val="1"/>
    <w:next w:val="7"/>
    <w:qFormat/>
    <w:uiPriority w:val="0"/>
    <w:pPr>
      <w:spacing w:line="60" w:lineRule="auto"/>
      <w:jc w:val="left"/>
    </w:pPr>
    <w:rPr>
      <w:sz w:val="24"/>
    </w:rPr>
  </w:style>
  <w:style w:type="paragraph" w:customStyle="1" w:styleId="7">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paragraph" w:styleId="8">
    <w:name w:val="Body Text Indent"/>
    <w:basedOn w:val="1"/>
    <w:next w:val="9"/>
    <w:qFormat/>
    <w:uiPriority w:val="0"/>
    <w:pPr>
      <w:ind w:firstLine="420" w:firstLineChars="200"/>
    </w:pPr>
  </w:style>
  <w:style w:type="paragraph" w:styleId="9">
    <w:name w:val="envelope return"/>
    <w:basedOn w:val="1"/>
    <w:qFormat/>
    <w:uiPriority w:val="0"/>
    <w:pPr>
      <w:snapToGrid w:val="0"/>
    </w:pPr>
    <w:rPr>
      <w:rFonts w:ascii="Arial" w:hAnsi="Arial" w:cs="Arial"/>
    </w:rPr>
  </w:style>
  <w:style w:type="paragraph" w:styleId="10">
    <w:name w:val="Plain Text"/>
    <w:basedOn w:val="1"/>
    <w:qFormat/>
    <w:uiPriority w:val="0"/>
    <w:rPr>
      <w:rFonts w:ascii="宋体" w:hAnsi="Courier New"/>
      <w:szCs w:val="20"/>
    </w:rPr>
  </w:style>
  <w:style w:type="paragraph" w:styleId="11">
    <w:name w:val="footer"/>
    <w:basedOn w:val="1"/>
    <w:link w:val="23"/>
    <w:unhideWhenUsed/>
    <w:qFormat/>
    <w:uiPriority w:val="99"/>
    <w:pPr>
      <w:tabs>
        <w:tab w:val="center" w:pos="4153"/>
        <w:tab w:val="right" w:pos="8306"/>
      </w:tabs>
      <w:snapToGrid w:val="0"/>
      <w:jc w:val="left"/>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Body Text First Indent"/>
    <w:basedOn w:val="1"/>
    <w:qFormat/>
    <w:uiPriority w:val="0"/>
    <w:pPr>
      <w:spacing w:after="120"/>
      <w:ind w:firstLine="420" w:firstLineChars="100"/>
    </w:pPr>
    <w:rPr>
      <w:rFonts w:ascii="Calibri" w:hAnsi="Calibri" w:eastAsia="仿宋_GB2312"/>
    </w:rPr>
  </w:style>
  <w:style w:type="paragraph" w:styleId="15">
    <w:name w:val="Body Text First Indent 2"/>
    <w:basedOn w:val="8"/>
    <w:qFormat/>
    <w:uiPriority w:val="0"/>
    <w:pPr>
      <w:spacing w:after="120"/>
      <w:ind w:left="420" w:leftChars="200"/>
    </w:pPr>
  </w:style>
  <w:style w:type="character" w:styleId="18">
    <w:name w:val="page number"/>
    <w:basedOn w:val="17"/>
    <w:qFormat/>
    <w:uiPriority w:val="0"/>
  </w:style>
  <w:style w:type="character" w:styleId="19">
    <w:name w:val="Hyperlink"/>
    <w:qFormat/>
    <w:uiPriority w:val="99"/>
    <w:rPr>
      <w:color w:val="333333"/>
      <w:u w:val="none"/>
    </w:rPr>
  </w:style>
  <w:style w:type="paragraph" w:customStyle="1" w:styleId="20">
    <w:name w:val="style4"/>
    <w:basedOn w:val="1"/>
    <w:next w:val="21"/>
    <w:qFormat/>
    <w:uiPriority w:val="0"/>
    <w:pPr>
      <w:widowControl/>
      <w:spacing w:before="280" w:after="280"/>
    </w:pPr>
    <w:rPr>
      <w:rFonts w:ascii="宋体"/>
      <w:sz w:val="18"/>
    </w:rPr>
  </w:style>
  <w:style w:type="paragraph" w:customStyle="1" w:styleId="21">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22">
    <w:name w:val="页眉 Char"/>
    <w:basedOn w:val="17"/>
    <w:link w:val="12"/>
    <w:qFormat/>
    <w:uiPriority w:val="99"/>
    <w:rPr>
      <w:sz w:val="18"/>
      <w:szCs w:val="18"/>
    </w:rPr>
  </w:style>
  <w:style w:type="character" w:customStyle="1" w:styleId="23">
    <w:name w:val="页脚 Char"/>
    <w:basedOn w:val="17"/>
    <w:link w:val="11"/>
    <w:qFormat/>
    <w:uiPriority w:val="99"/>
    <w:rPr>
      <w:sz w:val="18"/>
      <w:szCs w:val="18"/>
    </w:rPr>
  </w:style>
  <w:style w:type="paragraph" w:styleId="24">
    <w:name w:val="List Paragraph"/>
    <w:basedOn w:val="1"/>
    <w:qFormat/>
    <w:uiPriority w:val="34"/>
    <w:pPr>
      <w:ind w:firstLine="420" w:firstLineChars="200"/>
    </w:p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Table Paragraph"/>
    <w:basedOn w:val="1"/>
    <w:next w:val="27"/>
    <w:qFormat/>
    <w:uiPriority w:val="0"/>
    <w:rPr>
      <w:rFonts w:ascii="Calibri" w:hAnsi="宋体" w:cs="宋体"/>
      <w:kern w:val="0"/>
      <w:sz w:val="22"/>
      <w:szCs w:val="20"/>
    </w:rPr>
  </w:style>
  <w:style w:type="paragraph" w:customStyle="1" w:styleId="27">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8">
    <w:name w:val="格式３"/>
    <w:basedOn w:val="1"/>
    <w:qFormat/>
    <w:uiPriority w:val="0"/>
    <w:pPr>
      <w:spacing w:line="420" w:lineRule="exact"/>
      <w:ind w:left="600" w:hanging="600" w:hangingChars="250"/>
    </w:pPr>
    <w:rPr>
      <w:rFonts w:ascii="宋体" w:hAnsi="宋体"/>
      <w:color w:val="00000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31</Pages>
  <Words>15458</Words>
  <Characters>16084</Characters>
  <Lines>70</Lines>
  <Paragraphs>19</Paragraphs>
  <TotalTime>0</TotalTime>
  <ScaleCrop>false</ScaleCrop>
  <LinksUpToDate>false</LinksUpToDate>
  <CharactersWithSpaces>17289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2023-05-02T10:19:00Z</dcterms:created>
  <dc:creator>邱 雨桦</dc:creator>
  <cp:lastModifiedBy>尘一</cp:lastModifiedBy>
  <cp:lastPrinted>2022-11-21T08:03:00Z</cp:lastPrinted>
  <dcterms:modified xsi:type="dcterms:W3CDTF">2023-06-21T01:14:02Z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CE7927BD4A914EEB8FD37392B5AA2E7B_13</vt:lpwstr>
  </property>
</Properties>
</file>